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bookmarkStart w:id="0" w:name="_GoBack"/>
      <w:bookmarkEnd w:id="0"/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786BD5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Utkast</w:t>
      </w: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Pr="00AA170E" w:rsidRDefault="00801CFA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56"/>
          <w:szCs w:val="56"/>
          <w:lang w:eastAsia="en-US"/>
        </w:rPr>
      </w:pPr>
      <w:r w:rsidRPr="00AA170E">
        <w:rPr>
          <w:rFonts w:asciiTheme="majorHAnsi" w:hAnsiTheme="majorHAnsi" w:cs="MyriadPro-Bold"/>
          <w:b/>
          <w:bCs/>
          <w:color w:val="000000" w:themeColor="text1"/>
          <w:sz w:val="56"/>
          <w:szCs w:val="56"/>
          <w:lang w:eastAsia="en-US"/>
        </w:rPr>
        <w:t>B</w:t>
      </w:r>
      <w:r w:rsidR="00AA170E" w:rsidRPr="00AA170E">
        <w:rPr>
          <w:rFonts w:asciiTheme="majorHAnsi" w:hAnsiTheme="majorHAnsi" w:cs="MyriadPro-Bold"/>
          <w:b/>
          <w:bCs/>
          <w:color w:val="000000" w:themeColor="text1"/>
          <w:sz w:val="56"/>
          <w:szCs w:val="56"/>
          <w:lang w:eastAsia="en-US"/>
        </w:rPr>
        <w:t>EREDSKAPSAVTALE</w:t>
      </w: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 xml:space="preserve">inngått </w:t>
      </w:r>
      <w:r w:rsidR="00801CFA" w:rsidRPr="00801CFA"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mellom</w:t>
      </w: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 xml:space="preserve">NN </w:t>
      </w:r>
      <w:r w:rsidR="00801CFA" w:rsidRPr="00801CFA"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kommune</w:t>
      </w: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(heretter kalt kommunen)</w:t>
      </w:r>
    </w:p>
    <w:p w:rsidR="00AA170E" w:rsidRDefault="00AA170E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801CFA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 w:rsidRPr="00801CFA"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og</w:t>
      </w:r>
    </w:p>
    <w:p w:rsidR="00AA170E" w:rsidRDefault="00AA170E" w:rsidP="00AA170E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801CFA" w:rsidRDefault="00F62C1D" w:rsidP="00AA170E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«Skade</w:t>
      </w:r>
      <w:r w:rsidR="00DB31D2"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>-</w:t>
      </w:r>
      <w:r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  <w:t xml:space="preserve"> og saneringsselskap»</w:t>
      </w:r>
    </w:p>
    <w:p w:rsidR="00683E2B" w:rsidRDefault="00683E2B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683E2B" w:rsidRPr="00643BE6" w:rsidRDefault="00683E2B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sz w:val="40"/>
          <w:szCs w:val="40"/>
          <w:lang w:eastAsia="en-US"/>
        </w:rPr>
      </w:pPr>
    </w:p>
    <w:p w:rsidR="00271BB6" w:rsidRDefault="00D76A83" w:rsidP="00D76A83">
      <w:pPr>
        <w:autoSpaceDE w:val="0"/>
        <w:autoSpaceDN w:val="0"/>
        <w:adjustRightInd w:val="0"/>
        <w:jc w:val="center"/>
        <w:rPr>
          <w:rFonts w:asciiTheme="majorHAnsi" w:hAnsiTheme="majorHAnsi" w:cs="MyriadPro-Bold"/>
          <w:b/>
          <w:bCs/>
          <w:color w:val="000000" w:themeColor="text1"/>
          <w:sz w:val="24"/>
          <w:szCs w:val="24"/>
          <w:lang w:eastAsia="en-US"/>
        </w:rPr>
      </w:pPr>
      <w:r w:rsidRPr="00643BE6">
        <w:rPr>
          <w:rFonts w:asciiTheme="majorHAnsi" w:hAnsiTheme="majorHAnsi" w:cs="MyriadPro-Bold"/>
          <w:b/>
          <w:bCs/>
          <w:sz w:val="24"/>
          <w:szCs w:val="24"/>
          <w:lang w:eastAsia="en-US"/>
        </w:rPr>
        <w:t>Denne beredskapsavtalen er laget som till</w:t>
      </w:r>
      <w:r w:rsidR="00643BE6" w:rsidRPr="00643BE6">
        <w:rPr>
          <w:rFonts w:asciiTheme="majorHAnsi" w:hAnsiTheme="majorHAnsi" w:cs="MyriadPro-Bold"/>
          <w:b/>
          <w:bCs/>
          <w:sz w:val="24"/>
          <w:szCs w:val="24"/>
          <w:lang w:eastAsia="en-US"/>
        </w:rPr>
        <w:t>egg til standardavtale for skadesanering</w:t>
      </w:r>
      <w:r w:rsidRPr="00643BE6">
        <w:rPr>
          <w:rFonts w:asciiTheme="majorHAnsi" w:hAnsiTheme="majorHAnsi" w:cs="MyriadPro-Bold"/>
          <w:b/>
          <w:bCs/>
          <w:sz w:val="24"/>
          <w:szCs w:val="24"/>
          <w:lang w:eastAsia="en-US"/>
        </w:rPr>
        <w:t xml:space="preserve"> </w:t>
      </w:r>
    </w:p>
    <w:p w:rsidR="00AA170E" w:rsidRPr="00F62C1D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D76A83" w:rsidRDefault="00D76A83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D76A83" w:rsidRDefault="00D76A83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AA170E" w:rsidRDefault="00AA170E" w:rsidP="00801CFA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40"/>
          <w:szCs w:val="40"/>
          <w:lang w:eastAsia="en-US"/>
        </w:rPr>
      </w:pPr>
    </w:p>
    <w:p w:rsidR="00C808B3" w:rsidRPr="00621C89" w:rsidRDefault="00760606" w:rsidP="00C808B3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Bakgrunn</w:t>
      </w:r>
    </w:p>
    <w:p w:rsidR="00C808B3" w:rsidRDefault="00C808B3" w:rsidP="00C808B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Kommunen har gjennom Lov om kommunal beredskapsplikt et generelt og grunnleggende ansvar for å ivareta </w:t>
      </w:r>
      <w:r w:rsid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verdier som liv og helse, natur, areal, kritisk infrastruktur, bygg og materiell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 Gjennom denne loven er kommunen pålagt å gjennomføre risiko og sårbarhetsanalyser</w:t>
      </w:r>
      <w:r w:rsidR="00B16F2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,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samt utarbeide beredskapsplan. </w:t>
      </w:r>
      <w:r w:rsid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For å bidra til å styrke beredskapsevnen i kommunen er det </w:t>
      </w:r>
      <w:r w:rsidR="00B16F2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derfor </w:t>
      </w:r>
      <w:r w:rsid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inngått beredskapsavtale mellom kommunen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760606" w:rsidRDefault="00760606" w:rsidP="00C808B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Pr="00760606" w:rsidRDefault="00760606" w:rsidP="00760606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Om avtalepartene</w:t>
      </w:r>
    </w:p>
    <w:p w:rsidR="001A7BA1" w:rsidRDefault="001A7BA1" w:rsidP="00C808B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Kommunen……..(mer info om kommunen)</w:t>
      </w:r>
    </w:p>
    <w:p w:rsidR="00C808B3" w:rsidRDefault="00C808B3" w:rsidP="00C808B3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C808B3" w:rsidRDefault="00F62C1D" w:rsidP="00C808B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643BE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har vært i Norge siden 19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xx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Med små og store kunder over hele landet tar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 og saneringsselskap»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et helhetlig ansvar for å sikre 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kundenes 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verdier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, og utbedre skader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jobber 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hele tiden for å ligge i forkant og tilby de mest moderne o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g effektive løsninger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har over x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.000 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ansatte</w:t>
      </w:r>
      <w:r w:rsidR="00C808B3" w:rsidRPr="003F247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, fordelt på avdelingskontor over hele Norge.</w:t>
      </w:r>
    </w:p>
    <w:p w:rsidR="00C808B3" w:rsidRDefault="00C808B3" w:rsidP="005E23F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C808B3" w:rsidRPr="00D76A83" w:rsidRDefault="00C808B3" w:rsidP="00C808B3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621C89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Om avtalen</w:t>
      </w:r>
    </w:p>
    <w:p w:rsidR="005E23F8" w:rsidRPr="00D76A83" w:rsidRDefault="00D76A83" w:rsidP="005E23F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Denne b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eredskapsavtalen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skal stimulere til samarbeid og er en </w:t>
      </w:r>
      <w:r w:rsidR="00EE6262"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gjensidig forpliktelse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mellom kommune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, heretter kalt partene i beredskapsarbeidet.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ets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»</w:t>
      </w:r>
      <w:r w:rsidR="005E23F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leveranse av beredskapstjenester forutsetter inngåelse av konkrete oppdragsavtaler. </w:t>
      </w:r>
    </w:p>
    <w:p w:rsidR="00917FE2" w:rsidRDefault="00917FE2" w:rsidP="00D76A8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D76A83" w:rsidRDefault="00D76A83" w:rsidP="00D76A8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Avtalen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skal bidra til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at kommunen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kjenner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sin kapasitet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av mannskaper og materiell dersom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kommunens</w:t>
      </w:r>
      <w:r w:rsidR="00917FE2"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ordinære ressurser ikke strekker til.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Dette kan gjelde </w:t>
      </w:r>
      <w:r w:rsidR="00917FE2" w:rsidRPr="003C104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områdene forebygging, begrensning, håndtering og gjenoppretting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Målet er gjøre disse </w:t>
      </w:r>
      <w:r w:rsidR="00917FE2" w:rsidRPr="003C104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så gode, effektive og målrettede som mulig, og dermed bidrar til 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å styrke </w:t>
      </w:r>
      <w:r w:rsidR="00917FE2" w:rsidRPr="003C104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den kommunale beredskapsevnen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Samtidig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kan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kunne forvente at kommunen vil benytte </w:t>
      </w:r>
      <w:r w:rsidR="000F1D9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seg av 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deres personell, materiell og kompetanse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i en krisesituasjon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Avtalen </w:t>
      </w:r>
      <w:r w:rsidR="00917F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skal 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beskrive hva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som kan gjøre at 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samarbeidet blir mer forutsigbart og at det flyter lettere i </w:t>
      </w:r>
      <w:r w:rsidR="000F1D9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kritiske </w:t>
      </w:r>
      <w:r w:rsidRPr="00D76A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situasjoner. </w:t>
      </w:r>
    </w:p>
    <w:p w:rsidR="00917FE2" w:rsidRDefault="00917FE2" w:rsidP="00EE626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EE6262" w:rsidRDefault="00EE6262" w:rsidP="00EE626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Avtalen dekker samarbeid mellom kommune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før, under og etter en kritisk hendelse. Samarbeidet mellom partene før kritiske hendelser ligger på planarbeidsnivå og innebærer en gjensidig deltakelse i møter og fora hvor beredskap og krisehåndtering står på agendaen.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kan om ønskelig stille med representant i kommunens beredskapsfora.</w:t>
      </w:r>
    </w:p>
    <w:p w:rsidR="00EE6262" w:rsidRDefault="00EE6262" w:rsidP="00EE6262">
      <w:pPr>
        <w:autoSpaceDE w:val="0"/>
        <w:autoSpaceDN w:val="0"/>
        <w:adjustRightInd w:val="0"/>
        <w:ind w:left="142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955DE" w:rsidRDefault="008B31F3" w:rsidP="00EE626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Kommunen</w:t>
      </w:r>
      <w:r w:rsidR="00A955D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A955D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utarbeider en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A955D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konkret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beredskapsplan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for å bistå kommunen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EE6262" w:rsidRDefault="00A955DE" w:rsidP="00EE626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Denne ligger som vedlegg.</w:t>
      </w:r>
      <w:r w:rsidR="0045730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Part</w:t>
      </w:r>
      <w:r w:rsidR="0045730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ene oppdaterer beredskapsplanen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fortløpende og på årlig samarbeidsmøte</w:t>
      </w:r>
      <w:r w:rsidR="0045730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mellom beredskapsansvarlig i kommunen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EE6262" w:rsidRDefault="00EE6262" w:rsidP="00D76A8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694EF3" w:rsidRDefault="00694EF3" w:rsidP="00420314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24"/>
          <w:szCs w:val="24"/>
          <w:lang w:eastAsia="en-US"/>
        </w:rPr>
      </w:pPr>
    </w:p>
    <w:p w:rsidR="00C808B3" w:rsidRDefault="00C808B3" w:rsidP="00420314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24"/>
          <w:szCs w:val="24"/>
          <w:lang w:eastAsia="en-US"/>
        </w:rPr>
      </w:pPr>
    </w:p>
    <w:p w:rsidR="00C808B3" w:rsidRDefault="00C808B3" w:rsidP="00420314">
      <w:pPr>
        <w:autoSpaceDE w:val="0"/>
        <w:autoSpaceDN w:val="0"/>
        <w:adjustRightInd w:val="0"/>
        <w:rPr>
          <w:rFonts w:asciiTheme="majorHAnsi" w:hAnsiTheme="majorHAnsi" w:cs="MyriadPro-Bold"/>
          <w:b/>
          <w:bCs/>
          <w:color w:val="000000" w:themeColor="text1"/>
          <w:sz w:val="24"/>
          <w:szCs w:val="24"/>
          <w:lang w:eastAsia="en-US"/>
        </w:rPr>
      </w:pPr>
    </w:p>
    <w:p w:rsidR="00852B7B" w:rsidRPr="003C1048" w:rsidRDefault="00852B7B" w:rsidP="00D76A8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1C353A" w:rsidRPr="00EB1EFF" w:rsidRDefault="002D04E3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EB1EFF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Avtalens hensikt</w:t>
      </w:r>
    </w:p>
    <w:p w:rsidR="002D04E3" w:rsidRPr="00035B08" w:rsidRDefault="002D04E3" w:rsidP="00035B0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Kommunen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er enige om at hver part, innenfor egne regelverk og egne rammer, hver for seg og i samarbeid, et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ter beste evne skal bidra til å r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edusere sannsynligh</w:t>
      </w:r>
      <w:r w:rsidR="00A955DE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eten for at krisehendelser 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oppstå</w:t>
      </w:r>
      <w:r w:rsidR="00A955DE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r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, r</w:t>
      </w:r>
      <w:r w:rsidR="000F1D9D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edusere omfang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effekt av </w:t>
      </w:r>
      <w:r w:rsidR="00A955DE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krise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hendelser, dersom de likevel inntreffer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, h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åndtere konsekvensene av </w:t>
      </w:r>
      <w:r w:rsidR="00A955DE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krise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hendelser 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og g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jenopprette en normalsituasjon etter </w:t>
      </w:r>
      <w:r w:rsidR="000F1D9D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at 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en krise har inntruffet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0A4E2C" w:rsidRDefault="000A4E2C" w:rsidP="00CF782F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A4E2C" w:rsidRPr="00621C89" w:rsidRDefault="00852B7B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Varsling og s</w:t>
      </w:r>
      <w:r w:rsidR="000A4E2C" w:rsidRPr="00621C89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 xml:space="preserve">amarbeid ved kritiske hendelser </w:t>
      </w:r>
    </w:p>
    <w:p w:rsidR="000A4E2C" w:rsidRDefault="000A4E2C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 kritiske hendelser kan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på forespørsel fra kommunen stille med en representant i den kommunale kriseledelsen.</w:t>
      </w:r>
    </w:p>
    <w:p w:rsidR="00852B7B" w:rsidRDefault="00E709E2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Varsling </w:t>
      </w:r>
      <w:r w:rsidR="009256B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og aktivisering av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- </w:t>
      </w:r>
      <w:r w:rsidR="009256B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personell og materiell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gjøres ved at kommunen ringer</w:t>
      </w:r>
      <w:r w:rsidR="005A258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 </w:t>
      </w:r>
      <w:r w:rsidR="00271BB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som </w:t>
      </w:r>
      <w:r w:rsidR="009256B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igjen varsler</w:t>
      </w:r>
      <w:r w:rsidR="005A258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saneringsselskaps»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aktuelle Regionleder</w:t>
      </w:r>
      <w:r w:rsidR="009256B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Regionleder</w:t>
      </w:r>
      <w:r w:rsidR="00A955D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aktiverer ressurser etter behov.</w:t>
      </w:r>
    </w:p>
    <w:p w:rsidR="000A4E2C" w:rsidRDefault="000A4E2C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E709E2" w:rsidRPr="00E709E2" w:rsidRDefault="00271BB6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Beredskapsbidrag</w:t>
      </w:r>
    </w:p>
    <w:p w:rsidR="000A4E2C" w:rsidRDefault="000A4E2C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Med utgangspunkt i kommunens ROS-analyse og beredskapsplaner er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forbered</w:t>
      </w:r>
      <w:r w:rsidR="00E709E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t på å bidra med følgende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:</w:t>
      </w:r>
    </w:p>
    <w:p w:rsidR="000A4E2C" w:rsidRDefault="000A4E2C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A4E2C" w:rsidRPr="00683E2B" w:rsidRDefault="000A4E2C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 w:rsidRPr="00683E2B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Evakuering</w:t>
      </w:r>
    </w:p>
    <w:p w:rsidR="000A4E2C" w:rsidRDefault="000A4E2C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 behov for evakuering kan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stille med</w:t>
      </w:r>
      <w:r w:rsidR="004B3DC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personell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for </w:t>
      </w:r>
      <w:r w:rsidR="007608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å utføre</w:t>
      </w:r>
      <w:r w:rsidR="00B41C1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evakueringen og føre evakuerte til avtalt møtested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C77AE7" w:rsidRDefault="00C77AE7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C77AE7" w:rsidRPr="00FA7BA8" w:rsidRDefault="00F62C1D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 w:rsidRPr="00FA7BA8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S</w:t>
      </w:r>
      <w:r w:rsidR="00C77AE7" w:rsidRPr="00FA7BA8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ikring</w:t>
      </w:r>
      <w:r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 xml:space="preserve"> av </w:t>
      </w:r>
      <w:r w:rsidR="001C622E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skadested</w:t>
      </w:r>
    </w:p>
    <w:p w:rsidR="00C00E23" w:rsidRDefault="00C77AE7" w:rsidP="00FA7BA8">
      <w:pPr>
        <w:pStyle w:val="Listeavsnitt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Sikre </w:t>
      </w:r>
      <w:r w:rsidR="00E64719"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soner/verdier/åsted </w:t>
      </w:r>
      <w:r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med </w:t>
      </w:r>
      <w:r w:rsidR="00162BFB"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sperrebånd, </w:t>
      </w:r>
      <w:r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gjerder og port</w:t>
      </w:r>
    </w:p>
    <w:p w:rsidR="00C00E23" w:rsidRDefault="00C00E23" w:rsidP="00FA7BA8">
      <w:pPr>
        <w:pStyle w:val="Listeavsnitt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Vurdere førstehjelps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innsats for å begrense skader på innbo og bygninger</w:t>
      </w:r>
    </w:p>
    <w:p w:rsidR="00C77AE7" w:rsidRPr="00B22F98" w:rsidRDefault="00C00E23" w:rsidP="00FA7BA8">
      <w:pPr>
        <w:pStyle w:val="Listeavsnitt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Foreslå prioriteringer av førstehjelps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innsats</w:t>
      </w:r>
      <w:r w:rsidR="00E64719" w:rsidRPr="00B22F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og sørge for nødvendig utstyr til dette.</w:t>
      </w:r>
    </w:p>
    <w:p w:rsidR="00976983" w:rsidRDefault="00F62C1D" w:rsidP="00B81129">
      <w:pPr>
        <w:pStyle w:val="Listeavsnitt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Synlig mannskap</w:t>
      </w:r>
      <w:r w:rsidR="00976983"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som er lett gjenkjenn</w:t>
      </w:r>
      <w:r w:rsid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e</w:t>
      </w:r>
      <w:r w:rsidR="00976983"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l</w:t>
      </w:r>
      <w:r w:rsid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i</w:t>
      </w:r>
      <w:r w:rsidR="00976983"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g </w:t>
      </w:r>
    </w:p>
    <w:p w:rsidR="004E6CDF" w:rsidRPr="00976983" w:rsidRDefault="00976983" w:rsidP="00B81129">
      <w:pPr>
        <w:pStyle w:val="Listeavsnitt"/>
        <w:numPr>
          <w:ilvl w:val="0"/>
          <w:numId w:val="11"/>
        </w:num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</w:t>
      </w:r>
      <w:r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idra </w:t>
      </w:r>
      <w:r w:rsidR="00B22F98" w:rsidRPr="0097698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i forbindelse med transport, utdeling av materiell, el.l.</w:t>
      </w:r>
    </w:p>
    <w:p w:rsidR="000A4E2C" w:rsidRDefault="000A4E2C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A4E2C" w:rsidRPr="00683E2B" w:rsidRDefault="00CB74CE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Evakuering</w:t>
      </w:r>
    </w:p>
    <w:p w:rsidR="000A4E2C" w:rsidRDefault="00F62C1D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0A4E2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kan stil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le med ress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urser til transport av evakuerte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0A4E2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og generell tilstedeværelse.</w:t>
      </w:r>
    </w:p>
    <w:p w:rsidR="000A4E2C" w:rsidRDefault="000A4E2C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A4E2C" w:rsidRPr="00683E2B" w:rsidRDefault="00A73E6D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 w:rsidRPr="00683E2B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Helse og trygghet</w:t>
      </w:r>
    </w:p>
    <w:p w:rsidR="00A73E6D" w:rsidRDefault="00A73E6D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Ved bortfall av k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ritisk infrastruktur kan personell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fra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bidra med å oppsøke innbyggere </w:t>
      </w:r>
      <w:r w:rsidR="00271BB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for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tilsyn, utkjøring av mat, vann, medisiner og brensel. </w:t>
      </w:r>
    </w:p>
    <w:p w:rsidR="00A73E6D" w:rsidRDefault="00A73E6D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73E6D" w:rsidRPr="00683E2B" w:rsidRDefault="00C808B3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Ressurser fra andre områder</w:t>
      </w:r>
    </w:p>
    <w:p w:rsidR="00C808B3" w:rsidRDefault="00A73E6D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 behov kan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C00E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stille med personell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og utstyr fra andre områder i landet. </w:t>
      </w:r>
    </w:p>
    <w:p w:rsidR="00E709E2" w:rsidRDefault="00E709E2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E709E2" w:rsidRPr="00E709E2" w:rsidRDefault="00E709E2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 w:rsidRPr="00E709E2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Utstyr</w:t>
      </w:r>
    </w:p>
    <w:p w:rsidR="00E709E2" w:rsidRDefault="00E709E2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Liste over utstyr og materiell ligger som vedlegg.</w:t>
      </w:r>
    </w:p>
    <w:p w:rsidR="00C00E23" w:rsidRDefault="00C00E23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C808B3" w:rsidRDefault="00C808B3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C808B3" w:rsidRPr="00CF782F" w:rsidRDefault="00C808B3" w:rsidP="00FA7BA8">
      <w:pPr>
        <w:autoSpaceDE w:val="0"/>
        <w:autoSpaceDN w:val="0"/>
        <w:adjustRightInd w:val="0"/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</w:pPr>
      <w:r w:rsidRPr="00683E2B">
        <w:rPr>
          <w:rFonts w:asciiTheme="majorHAnsi" w:hAnsiTheme="majorHAnsi" w:cs="MyriadPro-Regular"/>
          <w:b/>
          <w:i/>
          <w:color w:val="000000"/>
          <w:sz w:val="24"/>
          <w:szCs w:val="24"/>
          <w:lang w:eastAsia="en-US"/>
        </w:rPr>
        <w:t>Generelt</w:t>
      </w:r>
    </w:p>
    <w:p w:rsidR="00C808B3" w:rsidRDefault="00C808B3" w:rsidP="00C808B3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Behov for bistand utover de allerede skisserte oppgavene avklares mellom partene.</w:t>
      </w:r>
    </w:p>
    <w:p w:rsidR="00C808B3" w:rsidRDefault="00C808B3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73E6D" w:rsidRDefault="00A73E6D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73E6D" w:rsidRPr="00621C89" w:rsidRDefault="00A73E6D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621C89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Opplæring og kompetanse</w:t>
      </w:r>
    </w:p>
    <w:p w:rsidR="00A73E6D" w:rsidRDefault="00F62C1D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A73E6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har ansvaret for opplæring av sine ansatte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 w:rsidR="00A73E6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Opplæringen inkluderer </w:t>
      </w:r>
      <w:r w:rsidR="00844E3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risikovurdering, førstehjelp og redning, brannver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n, evakuering,</w:t>
      </w:r>
      <w:r w:rsidR="00844E3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sikringstiltak, m.m. I tillegg får ledere 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i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844E34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utvidet opplæring i lederskap</w:t>
      </w:r>
      <w:r w:rsidR="00EE626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844E34" w:rsidRDefault="00844E34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D53EB9" w:rsidRDefault="00844E34" w:rsidP="004B3DCA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Ved aktuelle øvelser og kurs knyttet til beredskapsarbeid og planverk vil kommune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n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gjensidig invitere den andre part som deltager.</w:t>
      </w:r>
    </w:p>
    <w:p w:rsidR="00D53EB9" w:rsidRPr="00BC0D5F" w:rsidRDefault="00D53EB9" w:rsidP="0047279C">
      <w:pPr>
        <w:autoSpaceDE w:val="0"/>
        <w:autoSpaceDN w:val="0"/>
        <w:adjustRightInd w:val="0"/>
        <w:ind w:left="426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5F11B5" w:rsidRPr="005F11B5" w:rsidRDefault="005F11B5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5F11B5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Kommando og kontroll</w:t>
      </w:r>
    </w:p>
    <w:p w:rsidR="005F11B5" w:rsidRDefault="0093294F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Personell fra 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5F11B5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ledes </w:t>
      </w:r>
      <w:r w:rsidR="00943E1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normalt av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43E1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ledere, men</w:t>
      </w:r>
      <w:r w:rsidR="005F11B5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kan enkeltvis eller i grupper, avgis til kommunale ledere eller ledere i nødetatene</w:t>
      </w:r>
      <w:r w:rsidR="00EC79A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instruksjon</w:t>
      </w:r>
      <w:r w:rsidR="005F11B5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. </w:t>
      </w:r>
      <w:r w:rsidR="00943E1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 slik avgivelse er den offentlige ansatte leder faglig- og sikkerhetsmessig ansvarlig for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-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personell</w:t>
      </w:r>
      <w:r w:rsidR="00943E1B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på samme måte som for egne ansatte. </w:t>
      </w:r>
    </w:p>
    <w:p w:rsidR="00844E34" w:rsidRDefault="00844E34" w:rsidP="00A73E6D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844E34" w:rsidRPr="001A2F7B" w:rsidRDefault="00844E34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1A2F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Taushetsplikt</w:t>
      </w:r>
    </w:p>
    <w:p w:rsidR="00A5119C" w:rsidRDefault="00844E34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A5119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Alle ansatte i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Pr="00A5119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har </w:t>
      </w:r>
      <w:r w:rsidR="00EC79A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forpliktet seg til</w:t>
      </w:r>
      <w:r w:rsidR="00EC79AF" w:rsidRPr="00A5119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Pr="00A5119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en etikk- og taushetserklæring som innebærer å hindre at uvedkommende får adgang til sensitiv informasjon som den ansatte får tilgang til gjennom sitt virke. </w:t>
      </w:r>
    </w:p>
    <w:p w:rsidR="00A5119C" w:rsidRDefault="00A5119C" w:rsidP="00A5119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5119C" w:rsidRPr="001A2F7B" w:rsidRDefault="00A5119C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1A2F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Forsikringer</w:t>
      </w:r>
    </w:p>
    <w:p w:rsidR="004B3DCA" w:rsidRDefault="00F62C1D" w:rsidP="00760606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A5119C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har avtale om ansvars- og ulykkesforsikring for alle ansatte. </w:t>
      </w:r>
    </w:p>
    <w:p w:rsidR="00C808B3" w:rsidRDefault="00C808B3" w:rsidP="00A5119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A5119C" w:rsidRPr="001A2F7B" w:rsidRDefault="00A5119C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1A2F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Økonomi</w:t>
      </w:r>
    </w:p>
    <w:p w:rsidR="00760606" w:rsidRDefault="0093294F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Bruk av </w:t>
      </w:r>
      <w:r w:rsidR="00E85D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personell </w:t>
      </w:r>
      <w:r w:rsidR="00720809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og materiell </w:t>
      </w:r>
      <w:r w:rsidR="00E85D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godgjøres etter </w:t>
      </w:r>
      <w:r w:rsidR="00926DF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egne </w:t>
      </w:r>
      <w:r w:rsidR="00E85D2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satser</w:t>
      </w:r>
      <w:r w:rsidR="00720809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 Satsene ligger som vedlegg</w:t>
      </w:r>
      <w:r w:rsidR="00B04790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  <w:r w:rsidR="00EC79A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926DF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Behov for anskaffelser av ekstra utstyr som gjerder, bommer, sperrematerialer, ekstra kjøretøy, brakker, m.m. avklares med </w:t>
      </w:r>
      <w:r w:rsidR="001A7BA1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</w:t>
      </w:r>
      <w:r w:rsidR="00926DF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ommune</w:t>
      </w:r>
      <w:r w:rsidR="001A7BA1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n</w:t>
      </w:r>
      <w:r w:rsidR="00926DF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før anskaffelsen foretas.</w:t>
      </w:r>
    </w:p>
    <w:p w:rsidR="00926DF2" w:rsidRDefault="00926DF2" w:rsidP="00A5119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926DF2" w:rsidRPr="001A2F7B" w:rsidRDefault="00926DF2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1A2F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Avtalens varighet og oppsigelse</w:t>
      </w:r>
    </w:p>
    <w:p w:rsidR="00926DF2" w:rsidRDefault="00926DF2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Denne avtalen gjelder fra signering til eventuell oppsigelse. 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ommune</w:t>
      </w:r>
      <w:r w:rsidR="00C808B3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n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møter årlig for oppdatering og informasjonsutvek</w:t>
      </w:r>
      <w:r w:rsidR="000F019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sling. Begge parter kan si opp denne avtalen med 6 måneders skriftlig varsel. Begge parter kan kreve avtalen reforhandlet med 2 måneders skriftlig varsel.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 w:rsidR="00EC79A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kan si opp avtalen med 30 dagers varsel ved vesentlige endringer i forutsetningene for avtalen, herunder endringer i forsikringsdekning. </w:t>
      </w:r>
    </w:p>
    <w:p w:rsidR="00245AB2" w:rsidRDefault="00245AB2" w:rsidP="000F0198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45AB2" w:rsidRDefault="00245AB2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245AB2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Avtalens kontakt</w:t>
      </w:r>
      <w:r w:rsidR="00EC2655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- og varslings</w:t>
      </w:r>
      <w:r w:rsidRPr="00245AB2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personer</w:t>
      </w:r>
    </w:p>
    <w:p w:rsidR="00EF4245" w:rsidRPr="00EF4245" w:rsidRDefault="0047279C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Oversikt over kont</w:t>
      </w:r>
      <w:r w:rsidRPr="00EF4245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akt- og varslingspersoner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følger som vedlegg.</w:t>
      </w:r>
    </w:p>
    <w:p w:rsidR="00245AB2" w:rsidRDefault="00245AB2" w:rsidP="00323E17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BC0D5F" w:rsidRPr="00EC2655" w:rsidRDefault="00EC2655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EC2655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Evaluering av innsats</w:t>
      </w:r>
    </w:p>
    <w:p w:rsidR="00EC2655" w:rsidRDefault="00EC2655" w:rsidP="00FA7BA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Partene er enige om at det, innen rimelig tid etter at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har 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deltatt i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beredskapsinnsats, skal gjennomføres et evalueringsmøte med relevant deltagelse.</w:t>
      </w:r>
    </w:p>
    <w:p w:rsidR="00EC2655" w:rsidRDefault="00EC2655" w:rsidP="000F0198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EC2655" w:rsidRPr="00271BB6" w:rsidRDefault="00EC2655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271BB6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Dialogstruktur</w:t>
      </w:r>
    </w:p>
    <w:p w:rsidR="00EC2655" w:rsidRPr="00035B08" w:rsidRDefault="00EC2655" w:rsidP="00035B0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God utnyttelse av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saneringsselskap»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sine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ressurser i en krise- og beredskapssituasjon forutsetter tett og kontinuerlig dialog mellom partene. 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Det gjennomføres derfor m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inimum årlige møter mellom </w:t>
      </w:r>
      <w:r w:rsidR="00720809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beredskapsleder i kommunen og 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</w:t>
      </w:r>
      <w:r w:rsidR="00DB31D2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-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og saneringsselskap</w:t>
      </w:r>
      <w:r w:rsidR="00720809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»</w:t>
      </w:r>
      <w:r w:rsidR="00720809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beredskapsansvarlig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0F0198" w:rsidRPr="00035B08" w:rsidRDefault="00720809" w:rsidP="00035B0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 oppdatering av 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vedlegg </w:t>
      </w:r>
      <w:r w:rsidR="00EC2655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oversende</w:t>
      </w:r>
      <w:r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oppdaterte versjoner uten opphold til beredskapsansvarlig i kommunen. </w:t>
      </w:r>
      <w:r w:rsidR="00155532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Ved behov skal partene i god tid</w:t>
      </w:r>
      <w:r w:rsidR="00EF4245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invitere hverandr</w:t>
      </w:r>
      <w:r w:rsidR="00EC4AFA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 til faglige møter og øvelser, </w:t>
      </w:r>
      <w:r w:rsidR="00EF4245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</w:t>
      </w:r>
      <w:r w:rsidR="00155532" w:rsidRP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om deltagere eller observatører</w:t>
      </w:r>
      <w:r w:rsidR="00035B08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.</w:t>
      </w:r>
    </w:p>
    <w:p w:rsidR="002C327A" w:rsidRDefault="002C327A" w:rsidP="00926DF2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C327A" w:rsidRPr="001A2F7B" w:rsidRDefault="00DB31D2" w:rsidP="002326C9">
      <w:pPr>
        <w:pStyle w:val="Listeavsnitt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Kontrakts</w:t>
      </w:r>
      <w:r w:rsidR="0093294F" w:rsidRPr="001A2F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personer</w:t>
      </w:r>
      <w:r w:rsidR="00852B7B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 xml:space="preserve"> og signatur</w:t>
      </w:r>
    </w:p>
    <w:p w:rsidR="002C327A" w:rsidRDefault="002C327A" w:rsidP="002C327A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C327A" w:rsidRDefault="00DB31D2" w:rsidP="002C327A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Sted, xx. xx.</w:t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2016</w:t>
      </w:r>
    </w:p>
    <w:p w:rsidR="002C327A" w:rsidRDefault="002C327A" w:rsidP="00A73A2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Default="00760606" w:rsidP="00A73A2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Default="00760606" w:rsidP="00A73A28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DB31D2" w:rsidRDefault="00C808B3" w:rsidP="002C327A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Kommunen</w:t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2C327A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</w:p>
    <w:p w:rsidR="002C327A" w:rsidRPr="002C327A" w:rsidRDefault="00DB31D2" w:rsidP="00DB31D2">
      <w:pPr>
        <w:autoSpaceDE w:val="0"/>
        <w:autoSpaceDN w:val="0"/>
        <w:adjustRightInd w:val="0"/>
        <w:ind w:left="6372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«Skade og "Skade- og s</w:t>
      </w:r>
      <w:r w:rsidR="00F62C1D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aneringsselskap»</w:t>
      </w:r>
      <w:r w:rsidR="000C6A9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 </w:t>
      </w:r>
    </w:p>
    <w:p w:rsidR="00A73E6D" w:rsidRDefault="002C327A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Beredskapsansvarlig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  <w:t>Beredskapsansvarlig</w:t>
      </w:r>
    </w:p>
    <w:p w:rsidR="002C327A" w:rsidRDefault="002C327A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E-post: </w:t>
      </w:r>
      <w:hyperlink r:id="rId7" w:history="1">
        <w:r w:rsidRPr="00337506">
          <w:rPr>
            <w:rStyle w:val="Hyperkobling"/>
            <w:rFonts w:asciiTheme="majorHAnsi" w:hAnsiTheme="majorHAnsi" w:cs="MyriadPro-Regular"/>
            <w:sz w:val="24"/>
            <w:szCs w:val="24"/>
            <w:lang w:eastAsia="en-US"/>
          </w:rPr>
          <w:t>NN@kommune.no</w:t>
        </w:r>
      </w:hyperlink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hyperlink r:id="rId8" w:history="1">
        <w:r w:rsidR="0093294F">
          <w:rPr>
            <w:rStyle w:val="Hyperkobling"/>
            <w:rFonts w:asciiTheme="majorHAnsi" w:hAnsiTheme="majorHAnsi" w:cs="MyriadPro-Regular"/>
            <w:sz w:val="24"/>
            <w:szCs w:val="24"/>
            <w:lang w:eastAsia="en-US"/>
          </w:rPr>
          <w:t>«</w:t>
        </w:r>
        <w:r w:rsidR="00F62C1D">
          <w:rPr>
            <w:rStyle w:val="Hyperkobling"/>
            <w:rFonts w:asciiTheme="majorHAnsi" w:hAnsiTheme="majorHAnsi" w:cs="MyriadPro-Regular"/>
            <w:sz w:val="24"/>
            <w:szCs w:val="24"/>
            <w:lang w:eastAsia="en-US"/>
          </w:rPr>
          <w:t>saneringsselskap»</w:t>
        </w:r>
        <w:r w:rsidR="00720809" w:rsidRPr="00914FA7">
          <w:rPr>
            <w:rStyle w:val="Hyperkobling"/>
            <w:rFonts w:asciiTheme="majorHAnsi" w:hAnsiTheme="majorHAnsi" w:cs="MyriadPro-Regular"/>
            <w:sz w:val="24"/>
            <w:szCs w:val="24"/>
            <w:lang w:eastAsia="en-US"/>
          </w:rPr>
          <w:t>.no</w:t>
        </w:r>
      </w:hyperlink>
    </w:p>
    <w:p w:rsidR="002C327A" w:rsidRDefault="002C327A" w:rsidP="00155532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Mobiltlf.:</w:t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461FA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</w:r>
      <w:r w:rsidR="00461FAE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ab/>
        <w:t xml:space="preserve">Mobiltlf.: </w:t>
      </w:r>
    </w:p>
    <w:p w:rsidR="00155532" w:rsidRDefault="00155532" w:rsidP="00155532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Default="00760606" w:rsidP="00155532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Default="00760606" w:rsidP="00155532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Pr="00323E17" w:rsidRDefault="002C327A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323E17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 xml:space="preserve">Vedlegg: </w:t>
      </w:r>
    </w:p>
    <w:p w:rsidR="002C327A" w:rsidRPr="00760606" w:rsidRDefault="008F6C87" w:rsidP="00760606">
      <w:pPr>
        <w:pStyle w:val="Listeavsnitt"/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Ressursoversikt ved kriseberedskap</w:t>
      </w:r>
    </w:p>
    <w:p w:rsidR="00323E17" w:rsidRPr="00760606" w:rsidRDefault="00323E17" w:rsidP="00760606">
      <w:pPr>
        <w:pStyle w:val="Listeavsnitt"/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Kontakt- og varslingspersoner</w:t>
      </w:r>
    </w:p>
    <w:p w:rsidR="00A955DE" w:rsidRPr="00760606" w:rsidRDefault="00A955DE" w:rsidP="00760606">
      <w:pPr>
        <w:pStyle w:val="Listeavsnitt"/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Beredskapsplan for å bistå kommunen</w:t>
      </w:r>
    </w:p>
    <w:p w:rsidR="00720809" w:rsidRPr="00760606" w:rsidRDefault="00720809" w:rsidP="00760606">
      <w:pPr>
        <w:pStyle w:val="Listeavsnitt"/>
        <w:numPr>
          <w:ilvl w:val="0"/>
          <w:numId w:val="13"/>
        </w:numPr>
        <w:autoSpaceDE w:val="0"/>
        <w:autoSpaceDN w:val="0"/>
        <w:adjustRightInd w:val="0"/>
        <w:ind w:left="851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  <w:r w:rsidRP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Økonomiske </w:t>
      </w:r>
      <w:r w:rsidR="0093294F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 xml:space="preserve">satser for </w:t>
      </w:r>
      <w:r w:rsidRPr="00760606">
        <w:rPr>
          <w:rFonts w:asciiTheme="majorHAnsi" w:hAnsiTheme="majorHAnsi" w:cs="MyriadPro-Regular"/>
          <w:color w:val="000000"/>
          <w:sz w:val="24"/>
          <w:szCs w:val="24"/>
          <w:lang w:eastAsia="en-US"/>
        </w:rPr>
        <w:t>personell</w:t>
      </w:r>
    </w:p>
    <w:p w:rsidR="002C327A" w:rsidRDefault="002C327A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35B08" w:rsidRDefault="00035B08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35B08" w:rsidRDefault="00035B08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75185" w:rsidRDefault="00275185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75185" w:rsidRDefault="00275185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760606" w:rsidRDefault="00760606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35B08" w:rsidRDefault="00035B08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035B08" w:rsidRDefault="00035B08" w:rsidP="00155532">
      <w:pPr>
        <w:autoSpaceDE w:val="0"/>
        <w:autoSpaceDN w:val="0"/>
        <w:adjustRightInd w:val="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2C327A" w:rsidRDefault="002C327A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tbl>
      <w:tblPr>
        <w:tblStyle w:val="Tabellrutenett"/>
        <w:tblW w:w="8849" w:type="dxa"/>
        <w:tblInd w:w="360" w:type="dxa"/>
        <w:tblLook w:val="04A0" w:firstRow="1" w:lastRow="0" w:firstColumn="1" w:lastColumn="0" w:noHBand="0" w:noVBand="1"/>
      </w:tblPr>
      <w:tblGrid>
        <w:gridCol w:w="2099"/>
        <w:gridCol w:w="4348"/>
        <w:gridCol w:w="1553"/>
        <w:gridCol w:w="849"/>
      </w:tblGrid>
      <w:tr w:rsidR="00ED2B7F" w:rsidTr="009A6C6C">
        <w:tc>
          <w:tcPr>
            <w:tcW w:w="8849" w:type="dxa"/>
            <w:gridSpan w:val="4"/>
            <w:shd w:val="clear" w:color="auto" w:fill="BFBFBF" w:themeFill="background1" w:themeFillShade="BF"/>
          </w:tcPr>
          <w:p w:rsidR="00ED2B7F" w:rsidRPr="00ED2B7F" w:rsidRDefault="00155532" w:rsidP="00ED2B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yriadPro-Regular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b/>
                <w:color w:val="000000"/>
                <w:sz w:val="24"/>
                <w:szCs w:val="24"/>
                <w:lang w:eastAsia="en-US"/>
              </w:rPr>
              <w:t>Eksempel på r</w:t>
            </w:r>
            <w:r w:rsidR="008F6C87">
              <w:rPr>
                <w:rFonts w:asciiTheme="majorHAnsi" w:hAnsiTheme="majorHAnsi" w:cs="MyriadPro-Regular"/>
                <w:b/>
                <w:color w:val="000000"/>
                <w:sz w:val="24"/>
                <w:szCs w:val="24"/>
                <w:lang w:eastAsia="en-US"/>
              </w:rPr>
              <w:t>essursoversikt ved kriseb</w:t>
            </w:r>
            <w:r w:rsidR="00ED2B7F" w:rsidRPr="00ED2B7F">
              <w:rPr>
                <w:rFonts w:asciiTheme="majorHAnsi" w:hAnsiTheme="majorHAnsi" w:cs="MyriadPro-Regular"/>
                <w:b/>
                <w:color w:val="000000"/>
                <w:sz w:val="24"/>
                <w:szCs w:val="24"/>
                <w:lang w:eastAsia="en-US"/>
              </w:rPr>
              <w:t>eredskap</w:t>
            </w:r>
          </w:p>
        </w:tc>
      </w:tr>
      <w:tr w:rsidR="002C327A" w:rsidTr="004E1C98">
        <w:tc>
          <w:tcPr>
            <w:tcW w:w="2099" w:type="dxa"/>
            <w:shd w:val="clear" w:color="auto" w:fill="BFBFBF" w:themeFill="background1" w:themeFillShade="BF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Kategori</w:t>
            </w:r>
          </w:p>
        </w:tc>
        <w:tc>
          <w:tcPr>
            <w:tcW w:w="4348" w:type="dxa"/>
            <w:shd w:val="clear" w:color="auto" w:fill="BFBFBF" w:themeFill="background1" w:themeFillShade="BF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Materiell og utstyr</w:t>
            </w:r>
          </w:p>
        </w:tc>
        <w:tc>
          <w:tcPr>
            <w:tcW w:w="1553" w:type="dxa"/>
            <w:shd w:val="clear" w:color="auto" w:fill="BFBFBF" w:themeFill="background1" w:themeFillShade="BF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Lagersted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Antall</w:t>
            </w: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Administrativt</w:t>
            </w:r>
          </w:p>
        </w:tc>
        <w:tc>
          <w:tcPr>
            <w:tcW w:w="4348" w:type="dxa"/>
          </w:tcPr>
          <w:p w:rsidR="002C327A" w:rsidRPr="008930E8" w:rsidRDefault="0093294F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Biler med relevant utstyr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572AB0" w:rsidTr="004E1C98">
        <w:tc>
          <w:tcPr>
            <w:tcW w:w="2099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Lokaler med kantine og møterom</w:t>
            </w:r>
          </w:p>
        </w:tc>
        <w:tc>
          <w:tcPr>
            <w:tcW w:w="1553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C47198" w:rsidTr="004E1C98">
        <w:tc>
          <w:tcPr>
            <w:tcW w:w="2099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Lagerlokaler egnet for oppbevaring og behandling av innbo</w:t>
            </w:r>
          </w:p>
        </w:tc>
        <w:tc>
          <w:tcPr>
            <w:tcW w:w="1553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572AB0" w:rsidTr="004E1C98">
        <w:tc>
          <w:tcPr>
            <w:tcW w:w="2099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b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Bærbare pc</w:t>
            </w:r>
          </w:p>
        </w:tc>
        <w:tc>
          <w:tcPr>
            <w:tcW w:w="1553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572AB0" w:rsidRPr="008930E8" w:rsidRDefault="00572AB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2C327A" w:rsidRPr="008930E8" w:rsidRDefault="00B145FC" w:rsidP="00B145F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Mobiltlf.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2C327A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AV materiell</w:t>
            </w:r>
            <w:r w:rsidR="004E1C98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 xml:space="preserve"> og internett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2C327A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Ekstra refleksvester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B145FC" w:rsidTr="004E1C98">
        <w:tc>
          <w:tcPr>
            <w:tcW w:w="209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Koffert med beredskapsplan m.m.</w:t>
            </w:r>
          </w:p>
        </w:tc>
        <w:tc>
          <w:tcPr>
            <w:tcW w:w="1553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Personell</w:t>
            </w:r>
          </w:p>
        </w:tc>
        <w:tc>
          <w:tcPr>
            <w:tcW w:w="4348" w:type="dxa"/>
          </w:tcPr>
          <w:p w:rsidR="002C327A" w:rsidRPr="008930E8" w:rsidRDefault="0093294F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Uniformert personell</w:t>
            </w:r>
            <w:r w:rsidR="003903A2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: håndverkere, vannteknikere og sanerings mannskaper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2C327A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Ledere med r</w:t>
            </w:r>
            <w:r w:rsidR="00B145FC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efleksvester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B145FC" w:rsidTr="004E1C98">
        <w:tc>
          <w:tcPr>
            <w:tcW w:w="209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Kommunikasjon</w:t>
            </w:r>
          </w:p>
        </w:tc>
        <w:tc>
          <w:tcPr>
            <w:tcW w:w="4348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Mobiltlf</w:t>
            </w:r>
            <w:r w:rsidR="004E1C98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1553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4E1C98" w:rsidTr="004E1C98">
        <w:tc>
          <w:tcPr>
            <w:tcW w:w="209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Førstehjelpskofferter</w:t>
            </w:r>
          </w:p>
        </w:tc>
        <w:tc>
          <w:tcPr>
            <w:tcW w:w="1553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A73A28" w:rsidTr="004E1C98">
        <w:tc>
          <w:tcPr>
            <w:tcW w:w="2099" w:type="dxa"/>
          </w:tcPr>
          <w:p w:rsidR="00A73A28" w:rsidRPr="008930E8" w:rsidRDefault="00A73A2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A73A28" w:rsidRPr="008930E8" w:rsidRDefault="00A73A2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Lykt</w:t>
            </w:r>
          </w:p>
        </w:tc>
        <w:tc>
          <w:tcPr>
            <w:tcW w:w="1553" w:type="dxa"/>
          </w:tcPr>
          <w:p w:rsidR="00A73A28" w:rsidRPr="008930E8" w:rsidRDefault="00A73A2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A73A28" w:rsidRPr="008930E8" w:rsidRDefault="00A73A2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170E3" w:rsidTr="004E1C98">
        <w:tc>
          <w:tcPr>
            <w:tcW w:w="2099" w:type="dxa"/>
          </w:tcPr>
          <w:p w:rsidR="002170E3" w:rsidRPr="008930E8" w:rsidRDefault="002170E3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2170E3" w:rsidRPr="008930E8" w:rsidRDefault="002170E3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Verktøykasse, spett, øks</w:t>
            </w:r>
            <w:r w:rsidR="00FC0834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, teleskopstige</w:t>
            </w:r>
          </w:p>
        </w:tc>
        <w:tc>
          <w:tcPr>
            <w:tcW w:w="1553" w:type="dxa"/>
          </w:tcPr>
          <w:p w:rsidR="002170E3" w:rsidRPr="008930E8" w:rsidRDefault="002170E3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170E3" w:rsidRPr="008930E8" w:rsidRDefault="002170E3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D85934" w:rsidTr="004E1C98">
        <w:tc>
          <w:tcPr>
            <w:tcW w:w="2099" w:type="dxa"/>
          </w:tcPr>
          <w:p w:rsidR="00D85934" w:rsidRPr="008930E8" w:rsidRDefault="00C47198" w:rsidP="00D85934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B</w:t>
            </w:r>
            <w:r w:rsidR="00C913EC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il</w:t>
            </w:r>
            <w:r w:rsidR="00CC6E17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:</w:t>
            </w:r>
          </w:p>
        </w:tc>
        <w:tc>
          <w:tcPr>
            <w:tcW w:w="4348" w:type="dxa"/>
          </w:tcPr>
          <w:p w:rsidR="00D85934" w:rsidRPr="008930E8" w:rsidRDefault="00C47198" w:rsidP="00D85934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 xml:space="preserve">Uniformerte </w:t>
            </w:r>
            <w:r w:rsidR="00D85934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biler</w:t>
            </w:r>
          </w:p>
        </w:tc>
        <w:tc>
          <w:tcPr>
            <w:tcW w:w="1553" w:type="dxa"/>
          </w:tcPr>
          <w:p w:rsidR="00D85934" w:rsidRPr="008930E8" w:rsidRDefault="00D85934" w:rsidP="00D85934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D85934" w:rsidRPr="008930E8" w:rsidRDefault="00D85934" w:rsidP="00D85934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C47198" w:rsidTr="004E1C98">
        <w:tc>
          <w:tcPr>
            <w:tcW w:w="2099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Biler egnet for transport av innbo</w:t>
            </w:r>
          </w:p>
        </w:tc>
        <w:tc>
          <w:tcPr>
            <w:tcW w:w="1553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C471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</w:t>
            </w:r>
            <w:r w:rsidR="00B145FC"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ikring</w:t>
            </w:r>
            <w:r w:rsidR="00CC6E17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:</w:t>
            </w:r>
          </w:p>
        </w:tc>
        <w:tc>
          <w:tcPr>
            <w:tcW w:w="4348" w:type="dxa"/>
          </w:tcPr>
          <w:p w:rsidR="002C327A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Sperrebånd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2C327A" w:rsidTr="004E1C98">
        <w:tc>
          <w:tcPr>
            <w:tcW w:w="209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Stålgjerde</w:t>
            </w:r>
          </w:p>
        </w:tc>
        <w:tc>
          <w:tcPr>
            <w:tcW w:w="1553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2C327A" w:rsidRPr="008930E8" w:rsidRDefault="002C327A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B145FC" w:rsidTr="004E1C98">
        <w:tc>
          <w:tcPr>
            <w:tcW w:w="209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Franskgjerde</w:t>
            </w:r>
          </w:p>
        </w:tc>
        <w:tc>
          <w:tcPr>
            <w:tcW w:w="1553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B145FC" w:rsidTr="004E1C98">
        <w:tc>
          <w:tcPr>
            <w:tcW w:w="209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B145FC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Lys</w:t>
            </w:r>
          </w:p>
        </w:tc>
        <w:tc>
          <w:tcPr>
            <w:tcW w:w="1553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B145FC" w:rsidRPr="008930E8" w:rsidRDefault="00B145FC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4E1C98" w:rsidTr="004E1C98">
        <w:tc>
          <w:tcPr>
            <w:tcW w:w="209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Strømaggregat</w:t>
            </w:r>
          </w:p>
        </w:tc>
        <w:tc>
          <w:tcPr>
            <w:tcW w:w="1553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E50861" w:rsidTr="004E1C98">
        <w:tc>
          <w:tcPr>
            <w:tcW w:w="2099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 w:rsidRPr="008930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Verktøykasser</w:t>
            </w:r>
          </w:p>
        </w:tc>
        <w:tc>
          <w:tcPr>
            <w:tcW w:w="1553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E50861" w:rsidTr="004E1C98">
        <w:tc>
          <w:tcPr>
            <w:tcW w:w="2099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E50861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Tilhengerbrakke</w:t>
            </w:r>
          </w:p>
        </w:tc>
        <w:tc>
          <w:tcPr>
            <w:tcW w:w="1553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E50861" w:rsidRPr="008930E8" w:rsidRDefault="00E50861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4E1C98" w:rsidTr="004E1C98">
        <w:tc>
          <w:tcPr>
            <w:tcW w:w="2099" w:type="dxa"/>
          </w:tcPr>
          <w:p w:rsidR="004E1C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Spesialutstyr</w:t>
            </w:r>
          </w:p>
        </w:tc>
        <w:tc>
          <w:tcPr>
            <w:tcW w:w="4348" w:type="dxa"/>
          </w:tcPr>
          <w:p w:rsidR="004E1C98" w:rsidRPr="008930E8" w:rsidRDefault="00C471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Avfukter, vifter, vannoppsamlere, pumper, desinfiserings utstyr</w:t>
            </w:r>
          </w:p>
        </w:tc>
        <w:tc>
          <w:tcPr>
            <w:tcW w:w="1553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4E1C98" w:rsidTr="004E1C98">
        <w:tc>
          <w:tcPr>
            <w:tcW w:w="209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4348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1553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4E1C98" w:rsidTr="004E1C98">
        <w:tc>
          <w:tcPr>
            <w:tcW w:w="2099" w:type="dxa"/>
          </w:tcPr>
          <w:p w:rsidR="004E1C98" w:rsidRPr="008930E8" w:rsidRDefault="00386746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HMS utstyr</w:t>
            </w:r>
          </w:p>
        </w:tc>
        <w:tc>
          <w:tcPr>
            <w:tcW w:w="4348" w:type="dxa"/>
          </w:tcPr>
          <w:p w:rsidR="004E1C98" w:rsidRPr="008930E8" w:rsidRDefault="00155532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 xml:space="preserve">Vernehjelm, </w:t>
            </w:r>
            <w:r w:rsidR="00386746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vernesko</w:t>
            </w: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, vest, adgangskort</w:t>
            </w:r>
          </w:p>
        </w:tc>
        <w:tc>
          <w:tcPr>
            <w:tcW w:w="1553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4E1C98" w:rsidRPr="008930E8" w:rsidRDefault="004E1C98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  <w:tr w:rsidR="00386746" w:rsidTr="004E1C98">
        <w:tc>
          <w:tcPr>
            <w:tcW w:w="2099" w:type="dxa"/>
          </w:tcPr>
          <w:p w:rsidR="00386746" w:rsidRDefault="008523A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Sikring av innbrudd</w:t>
            </w:r>
          </w:p>
        </w:tc>
        <w:tc>
          <w:tcPr>
            <w:tcW w:w="4348" w:type="dxa"/>
          </w:tcPr>
          <w:p w:rsidR="00386746" w:rsidRDefault="008523A0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Lås, k</w:t>
            </w:r>
            <w:r w:rsidR="00C4719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jetting</w:t>
            </w:r>
            <w:r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 xml:space="preserve">, </w:t>
            </w:r>
            <w:r w:rsidR="00284FE1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skruer slagdrill, finerplate</w:t>
            </w:r>
            <w:r w:rsidR="002C6CE8"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  <w:t>, beslag, m.m.</w:t>
            </w:r>
          </w:p>
        </w:tc>
        <w:tc>
          <w:tcPr>
            <w:tcW w:w="1553" w:type="dxa"/>
          </w:tcPr>
          <w:p w:rsidR="00386746" w:rsidRPr="008930E8" w:rsidRDefault="00386746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  <w:tc>
          <w:tcPr>
            <w:tcW w:w="849" w:type="dxa"/>
          </w:tcPr>
          <w:p w:rsidR="00386746" w:rsidRPr="008930E8" w:rsidRDefault="00386746" w:rsidP="000A4E2C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Cs w:val="22"/>
                <w:lang w:eastAsia="en-US"/>
              </w:rPr>
            </w:pPr>
          </w:p>
        </w:tc>
      </w:tr>
    </w:tbl>
    <w:p w:rsidR="002C327A" w:rsidRDefault="002C327A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Default="00323E17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Default="00323E17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Default="00323E17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Pr="00323E17" w:rsidRDefault="00323E17" w:rsidP="00323E17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</w:pPr>
      <w:r w:rsidRPr="00245AB2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Avtalens kontakt</w:t>
      </w:r>
      <w:r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- og varslings</w:t>
      </w:r>
      <w:r w:rsidRPr="00245AB2">
        <w:rPr>
          <w:rFonts w:asciiTheme="majorHAnsi" w:hAnsiTheme="majorHAnsi" w:cs="MyriadPro-Regular"/>
          <w:b/>
          <w:color w:val="000000"/>
          <w:sz w:val="24"/>
          <w:szCs w:val="24"/>
          <w:lang w:eastAsia="en-US"/>
        </w:rPr>
        <w:t>personer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3083"/>
        <w:gridCol w:w="1274"/>
        <w:gridCol w:w="2169"/>
        <w:gridCol w:w="730"/>
        <w:gridCol w:w="1400"/>
      </w:tblGrid>
      <w:tr w:rsidR="00C47198" w:rsidTr="00C47198">
        <w:tc>
          <w:tcPr>
            <w:tcW w:w="3083" w:type="dxa"/>
            <w:shd w:val="clear" w:color="auto" w:fill="BFBFBF" w:themeFill="background1" w:themeFillShade="BF"/>
          </w:tcPr>
          <w:p w:rsidR="00C47198" w:rsidRDefault="00C47198" w:rsidP="006422D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73" w:type="dxa"/>
            <w:gridSpan w:val="4"/>
            <w:shd w:val="clear" w:color="auto" w:fill="BFBFBF" w:themeFill="background1" w:themeFillShade="BF"/>
          </w:tcPr>
          <w:p w:rsidR="00C47198" w:rsidRDefault="00C47198" w:rsidP="006422D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Kontaktpersoner «Saneringsselskap»</w:t>
            </w:r>
          </w:p>
        </w:tc>
      </w:tr>
      <w:tr w:rsidR="00C47198" w:rsidTr="00C47198">
        <w:tc>
          <w:tcPr>
            <w:tcW w:w="3083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Navn</w:t>
            </w:r>
          </w:p>
        </w:tc>
        <w:tc>
          <w:tcPr>
            <w:tcW w:w="2169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 xml:space="preserve">Funksjon </w:t>
            </w:r>
          </w:p>
        </w:tc>
        <w:tc>
          <w:tcPr>
            <w:tcW w:w="73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Tlf.</w:t>
            </w:r>
          </w:p>
        </w:tc>
        <w:tc>
          <w:tcPr>
            <w:tcW w:w="140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Mail</w:t>
            </w:r>
          </w:p>
        </w:tc>
      </w:tr>
      <w:tr w:rsidR="00C47198" w:rsidTr="00C47198">
        <w:tc>
          <w:tcPr>
            <w:tcW w:w="3083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Beredskapsansvarlig</w:t>
            </w:r>
          </w:p>
        </w:tc>
        <w:tc>
          <w:tcPr>
            <w:tcW w:w="73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</w:tr>
      <w:tr w:rsidR="00C47198" w:rsidTr="00C47198">
        <w:tc>
          <w:tcPr>
            <w:tcW w:w="3083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</w:tcPr>
          <w:p w:rsidR="00C47198" w:rsidRDefault="00C47198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3E17" w:rsidRDefault="00323E17" w:rsidP="00323E17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p w:rsidR="00323E17" w:rsidRDefault="00323E17" w:rsidP="00323E17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169"/>
        <w:gridCol w:w="1134"/>
        <w:gridCol w:w="2835"/>
      </w:tblGrid>
      <w:tr w:rsidR="00323E17" w:rsidTr="006422D5">
        <w:tc>
          <w:tcPr>
            <w:tcW w:w="8467" w:type="dxa"/>
            <w:gridSpan w:val="4"/>
            <w:shd w:val="clear" w:color="auto" w:fill="BFBFBF" w:themeFill="background1" w:themeFillShade="BF"/>
          </w:tcPr>
          <w:p w:rsidR="00323E17" w:rsidRDefault="00323E17" w:rsidP="006422D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Kontaktpersoner kommunen</w:t>
            </w:r>
          </w:p>
        </w:tc>
      </w:tr>
      <w:tr w:rsidR="00323E17" w:rsidTr="006422D5">
        <w:tc>
          <w:tcPr>
            <w:tcW w:w="232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Navn</w:t>
            </w:r>
          </w:p>
        </w:tc>
        <w:tc>
          <w:tcPr>
            <w:tcW w:w="216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 xml:space="preserve">Funksjon </w:t>
            </w:r>
          </w:p>
        </w:tc>
        <w:tc>
          <w:tcPr>
            <w:tcW w:w="1134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Tlf.</w:t>
            </w:r>
          </w:p>
        </w:tc>
        <w:tc>
          <w:tcPr>
            <w:tcW w:w="2835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Mail</w:t>
            </w:r>
          </w:p>
        </w:tc>
      </w:tr>
      <w:tr w:rsidR="00323E17" w:rsidTr="006422D5">
        <w:tc>
          <w:tcPr>
            <w:tcW w:w="232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  <w:t>Beredskapsansvarlig</w:t>
            </w:r>
          </w:p>
        </w:tc>
        <w:tc>
          <w:tcPr>
            <w:tcW w:w="1134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</w:tr>
      <w:tr w:rsidR="00323E17" w:rsidTr="006422D5">
        <w:tc>
          <w:tcPr>
            <w:tcW w:w="232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9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323E17" w:rsidRDefault="00323E17" w:rsidP="006422D5">
            <w:pPr>
              <w:autoSpaceDE w:val="0"/>
              <w:autoSpaceDN w:val="0"/>
              <w:adjustRightInd w:val="0"/>
              <w:rPr>
                <w:rFonts w:asciiTheme="majorHAnsi" w:hAnsiTheme="majorHAnsi" w:cs="MyriadPro-Regular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3E17" w:rsidRPr="000A4E2C" w:rsidRDefault="00323E17" w:rsidP="000A4E2C">
      <w:pPr>
        <w:autoSpaceDE w:val="0"/>
        <w:autoSpaceDN w:val="0"/>
        <w:adjustRightInd w:val="0"/>
        <w:ind w:left="360"/>
        <w:rPr>
          <w:rFonts w:asciiTheme="majorHAnsi" w:hAnsiTheme="majorHAnsi" w:cs="MyriadPro-Regular"/>
          <w:color w:val="000000"/>
          <w:sz w:val="24"/>
          <w:szCs w:val="24"/>
          <w:lang w:eastAsia="en-US"/>
        </w:rPr>
      </w:pPr>
    </w:p>
    <w:sectPr w:rsidR="00323E17" w:rsidRPr="000A4E2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31" w:rsidRDefault="00B35931" w:rsidP="00CF782F">
      <w:r>
        <w:separator/>
      </w:r>
    </w:p>
  </w:endnote>
  <w:endnote w:type="continuationSeparator" w:id="0">
    <w:p w:rsidR="00B35931" w:rsidRDefault="00B35931" w:rsidP="00CF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34568368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782F" w:rsidRPr="00CF782F" w:rsidRDefault="00CF782F">
            <w:pPr>
              <w:pStyle w:val="Bunntekst"/>
              <w:jc w:val="right"/>
              <w:rPr>
                <w:sz w:val="16"/>
                <w:szCs w:val="16"/>
              </w:rPr>
            </w:pPr>
            <w:r w:rsidRPr="00CF782F">
              <w:rPr>
                <w:sz w:val="16"/>
                <w:szCs w:val="16"/>
              </w:rPr>
              <w:t xml:space="preserve">Side </w:t>
            </w:r>
            <w:r w:rsidRPr="00CF782F">
              <w:rPr>
                <w:b/>
                <w:bCs/>
                <w:sz w:val="16"/>
                <w:szCs w:val="16"/>
              </w:rPr>
              <w:fldChar w:fldCharType="begin"/>
            </w:r>
            <w:r w:rsidRPr="00CF782F">
              <w:rPr>
                <w:b/>
                <w:bCs/>
                <w:sz w:val="16"/>
                <w:szCs w:val="16"/>
              </w:rPr>
              <w:instrText>PAGE</w:instrText>
            </w:r>
            <w:r w:rsidRPr="00CF782F">
              <w:rPr>
                <w:b/>
                <w:bCs/>
                <w:sz w:val="16"/>
                <w:szCs w:val="16"/>
              </w:rPr>
              <w:fldChar w:fldCharType="separate"/>
            </w:r>
            <w:r w:rsidR="00D66D6F">
              <w:rPr>
                <w:b/>
                <w:bCs/>
                <w:noProof/>
                <w:sz w:val="16"/>
                <w:szCs w:val="16"/>
              </w:rPr>
              <w:t>1</w:t>
            </w:r>
            <w:r w:rsidRPr="00CF782F">
              <w:rPr>
                <w:b/>
                <w:bCs/>
                <w:sz w:val="16"/>
                <w:szCs w:val="16"/>
              </w:rPr>
              <w:fldChar w:fldCharType="end"/>
            </w:r>
            <w:r w:rsidRPr="00CF782F">
              <w:rPr>
                <w:sz w:val="16"/>
                <w:szCs w:val="16"/>
              </w:rPr>
              <w:t xml:space="preserve"> av </w:t>
            </w:r>
            <w:r w:rsidRPr="00CF782F">
              <w:rPr>
                <w:b/>
                <w:bCs/>
                <w:sz w:val="16"/>
                <w:szCs w:val="16"/>
              </w:rPr>
              <w:fldChar w:fldCharType="begin"/>
            </w:r>
            <w:r w:rsidRPr="00CF782F">
              <w:rPr>
                <w:b/>
                <w:bCs/>
                <w:sz w:val="16"/>
                <w:szCs w:val="16"/>
              </w:rPr>
              <w:instrText>NUMPAGES</w:instrText>
            </w:r>
            <w:r w:rsidRPr="00CF782F">
              <w:rPr>
                <w:b/>
                <w:bCs/>
                <w:sz w:val="16"/>
                <w:szCs w:val="16"/>
              </w:rPr>
              <w:fldChar w:fldCharType="separate"/>
            </w:r>
            <w:r w:rsidR="00D66D6F">
              <w:rPr>
                <w:b/>
                <w:bCs/>
                <w:noProof/>
                <w:sz w:val="16"/>
                <w:szCs w:val="16"/>
              </w:rPr>
              <w:t>1</w:t>
            </w:r>
            <w:r w:rsidRPr="00CF782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F782F" w:rsidRDefault="00CF782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31" w:rsidRDefault="00B35931" w:rsidP="00CF782F">
      <w:r>
        <w:separator/>
      </w:r>
    </w:p>
  </w:footnote>
  <w:footnote w:type="continuationSeparator" w:id="0">
    <w:p w:rsidR="00B35931" w:rsidRDefault="00B35931" w:rsidP="00CF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F747D"/>
    <w:multiLevelType w:val="hybridMultilevel"/>
    <w:tmpl w:val="A45E42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41FF"/>
    <w:multiLevelType w:val="hybridMultilevel"/>
    <w:tmpl w:val="3BC2CC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27055"/>
    <w:multiLevelType w:val="hybridMultilevel"/>
    <w:tmpl w:val="A45E42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30E1D"/>
    <w:multiLevelType w:val="hybridMultilevel"/>
    <w:tmpl w:val="44C4A42C"/>
    <w:lvl w:ilvl="0" w:tplc="730C13A2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5F5475"/>
    <w:multiLevelType w:val="hybridMultilevel"/>
    <w:tmpl w:val="CADC1030"/>
    <w:lvl w:ilvl="0" w:tplc="730C13A2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BD2E68"/>
    <w:multiLevelType w:val="hybridMultilevel"/>
    <w:tmpl w:val="F28C9932"/>
    <w:lvl w:ilvl="0" w:tplc="730C13A2"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9466A"/>
    <w:multiLevelType w:val="hybridMultilevel"/>
    <w:tmpl w:val="C8EEF794"/>
    <w:lvl w:ilvl="0" w:tplc="ECBEC33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MyriadPro-Regular" w:hint="default"/>
        <w:color w:val="E4000B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70B34"/>
    <w:multiLevelType w:val="hybridMultilevel"/>
    <w:tmpl w:val="EAE29460"/>
    <w:lvl w:ilvl="0" w:tplc="B6C08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666B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60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7E8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674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D47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302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48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2F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7E02F0"/>
    <w:multiLevelType w:val="hybridMultilevel"/>
    <w:tmpl w:val="BE148414"/>
    <w:lvl w:ilvl="0" w:tplc="730C13A2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120BE"/>
    <w:multiLevelType w:val="hybridMultilevel"/>
    <w:tmpl w:val="6F4C4F38"/>
    <w:lvl w:ilvl="0" w:tplc="9C2A8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C75EF4"/>
    <w:multiLevelType w:val="hybridMultilevel"/>
    <w:tmpl w:val="DD0A41F2"/>
    <w:lvl w:ilvl="0" w:tplc="730C13A2">
      <w:numFmt w:val="bullet"/>
      <w:lvlText w:val="•"/>
      <w:lvlJc w:val="left"/>
      <w:pPr>
        <w:ind w:left="108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4B3212"/>
    <w:multiLevelType w:val="hybridMultilevel"/>
    <w:tmpl w:val="E95C0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07571"/>
    <w:multiLevelType w:val="hybridMultilevel"/>
    <w:tmpl w:val="A9187D00"/>
    <w:lvl w:ilvl="0" w:tplc="730C13A2">
      <w:numFmt w:val="bullet"/>
      <w:lvlText w:val="•"/>
      <w:lvlJc w:val="left"/>
      <w:pPr>
        <w:ind w:left="720" w:hanging="360"/>
      </w:pPr>
      <w:rPr>
        <w:rFonts w:ascii="Calibri" w:hAnsi="Calibri" w:cs="Times New Roman" w:hint="default"/>
        <w:color w:val="5B9BD5" w:themeColor="accent1"/>
        <w:w w:val="1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E0"/>
    <w:rsid w:val="00005748"/>
    <w:rsid w:val="00035B08"/>
    <w:rsid w:val="000A4E2C"/>
    <w:rsid w:val="000C6A9F"/>
    <w:rsid w:val="000F0198"/>
    <w:rsid w:val="000F1D9D"/>
    <w:rsid w:val="000F5A70"/>
    <w:rsid w:val="00155532"/>
    <w:rsid w:val="00162BFB"/>
    <w:rsid w:val="001A2F7B"/>
    <w:rsid w:val="001A7BA1"/>
    <w:rsid w:val="001C353A"/>
    <w:rsid w:val="001C622E"/>
    <w:rsid w:val="002170E3"/>
    <w:rsid w:val="002326C9"/>
    <w:rsid w:val="002427A8"/>
    <w:rsid w:val="00245AB2"/>
    <w:rsid w:val="00271BB6"/>
    <w:rsid w:val="00275185"/>
    <w:rsid w:val="00284FE1"/>
    <w:rsid w:val="002C327A"/>
    <w:rsid w:val="002C6CE8"/>
    <w:rsid w:val="002C73EB"/>
    <w:rsid w:val="002C7A6F"/>
    <w:rsid w:val="002C7DE9"/>
    <w:rsid w:val="002D04E3"/>
    <w:rsid w:val="00323E17"/>
    <w:rsid w:val="00365168"/>
    <w:rsid w:val="00386746"/>
    <w:rsid w:val="003903A2"/>
    <w:rsid w:val="003939C9"/>
    <w:rsid w:val="003C1048"/>
    <w:rsid w:val="003D6FE0"/>
    <w:rsid w:val="003F2474"/>
    <w:rsid w:val="00420314"/>
    <w:rsid w:val="0044637E"/>
    <w:rsid w:val="0045730D"/>
    <w:rsid w:val="00461FAE"/>
    <w:rsid w:val="0047279C"/>
    <w:rsid w:val="00490DF5"/>
    <w:rsid w:val="004B3DCA"/>
    <w:rsid w:val="004B4A17"/>
    <w:rsid w:val="004E1C98"/>
    <w:rsid w:val="004E6CDF"/>
    <w:rsid w:val="005716BF"/>
    <w:rsid w:val="00572AB0"/>
    <w:rsid w:val="005A258D"/>
    <w:rsid w:val="005E23F8"/>
    <w:rsid w:val="005F11B5"/>
    <w:rsid w:val="00621C89"/>
    <w:rsid w:val="00643BE6"/>
    <w:rsid w:val="00661CCF"/>
    <w:rsid w:val="00683E2B"/>
    <w:rsid w:val="00694EF3"/>
    <w:rsid w:val="00720809"/>
    <w:rsid w:val="00760606"/>
    <w:rsid w:val="00760898"/>
    <w:rsid w:val="00781E22"/>
    <w:rsid w:val="00786BD5"/>
    <w:rsid w:val="00790382"/>
    <w:rsid w:val="00795953"/>
    <w:rsid w:val="007E00BE"/>
    <w:rsid w:val="00801CFA"/>
    <w:rsid w:val="008377BF"/>
    <w:rsid w:val="00844E34"/>
    <w:rsid w:val="008523A0"/>
    <w:rsid w:val="00852B7B"/>
    <w:rsid w:val="00864F5D"/>
    <w:rsid w:val="008930E8"/>
    <w:rsid w:val="008A6114"/>
    <w:rsid w:val="008B31F3"/>
    <w:rsid w:val="008F6C87"/>
    <w:rsid w:val="00917FE2"/>
    <w:rsid w:val="009256BB"/>
    <w:rsid w:val="00926DF2"/>
    <w:rsid w:val="0093294F"/>
    <w:rsid w:val="00943E1B"/>
    <w:rsid w:val="00976983"/>
    <w:rsid w:val="009B2B87"/>
    <w:rsid w:val="00A25626"/>
    <w:rsid w:val="00A5119C"/>
    <w:rsid w:val="00A51557"/>
    <w:rsid w:val="00A73A28"/>
    <w:rsid w:val="00A73E6D"/>
    <w:rsid w:val="00A955DE"/>
    <w:rsid w:val="00AA170E"/>
    <w:rsid w:val="00AB189B"/>
    <w:rsid w:val="00B04790"/>
    <w:rsid w:val="00B145FC"/>
    <w:rsid w:val="00B16F2F"/>
    <w:rsid w:val="00B22F98"/>
    <w:rsid w:val="00B35931"/>
    <w:rsid w:val="00B41C14"/>
    <w:rsid w:val="00BC0D5F"/>
    <w:rsid w:val="00C00E23"/>
    <w:rsid w:val="00C448A6"/>
    <w:rsid w:val="00C455EF"/>
    <w:rsid w:val="00C47198"/>
    <w:rsid w:val="00C77AE7"/>
    <w:rsid w:val="00C808B3"/>
    <w:rsid w:val="00C913EC"/>
    <w:rsid w:val="00CB74CE"/>
    <w:rsid w:val="00CC6E17"/>
    <w:rsid w:val="00CF782F"/>
    <w:rsid w:val="00D53EB9"/>
    <w:rsid w:val="00D66D6F"/>
    <w:rsid w:val="00D71156"/>
    <w:rsid w:val="00D76A83"/>
    <w:rsid w:val="00D85934"/>
    <w:rsid w:val="00DB31D2"/>
    <w:rsid w:val="00E1586B"/>
    <w:rsid w:val="00E50861"/>
    <w:rsid w:val="00E64719"/>
    <w:rsid w:val="00E709E2"/>
    <w:rsid w:val="00E82D46"/>
    <w:rsid w:val="00E85D23"/>
    <w:rsid w:val="00EA45EA"/>
    <w:rsid w:val="00EB1EFF"/>
    <w:rsid w:val="00EC2655"/>
    <w:rsid w:val="00EC4AFA"/>
    <w:rsid w:val="00EC79AF"/>
    <w:rsid w:val="00ED2B7F"/>
    <w:rsid w:val="00EE6262"/>
    <w:rsid w:val="00EF4245"/>
    <w:rsid w:val="00F14D68"/>
    <w:rsid w:val="00F171A5"/>
    <w:rsid w:val="00F17738"/>
    <w:rsid w:val="00F60077"/>
    <w:rsid w:val="00F62C1D"/>
    <w:rsid w:val="00F65DBB"/>
    <w:rsid w:val="00FA7BA8"/>
    <w:rsid w:val="00FC0834"/>
    <w:rsid w:val="00FD2830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86B3-B183-45CA-B4B5-B742B9B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F5D"/>
    <w:pPr>
      <w:spacing w:after="0" w:line="240" w:lineRule="auto"/>
    </w:pPr>
    <w:rPr>
      <w:rFonts w:ascii="Calibri Light" w:hAnsi="Calibri Light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48A6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C327A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2C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17FE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17FE2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17FE2"/>
    <w:rPr>
      <w:rFonts w:ascii="Calibri Light" w:hAnsi="Calibri Light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17FE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17FE2"/>
    <w:rPr>
      <w:rFonts w:ascii="Calibri Light" w:hAnsi="Calibri Light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7FE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7FE2"/>
    <w:rPr>
      <w:rFonts w:ascii="Segoe UI" w:hAnsi="Segoe UI" w:cs="Segoe UI"/>
      <w:sz w:val="18"/>
      <w:szCs w:val="18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CF782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F782F"/>
    <w:rPr>
      <w:rFonts w:ascii="Calibri Light" w:hAnsi="Calibri Light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F782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F782F"/>
    <w:rPr>
      <w:rFonts w:ascii="Calibri Light" w:hAnsi="Calibri Light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38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72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039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8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10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1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1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1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98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2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3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@vaktselskapet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N@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1482</Words>
  <Characters>7857</Characters>
  <Application>Microsoft Office Word</Application>
  <DocSecurity>4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Securitas AS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Brynhildsvoll Per Øyvind</dc:creator>
  <cp:keywords/>
  <dc:description/>
  <cp:lastModifiedBy>Baard Fiksdal</cp:lastModifiedBy>
  <cp:revision>2</cp:revision>
  <dcterms:created xsi:type="dcterms:W3CDTF">2017-04-03T12:51:00Z</dcterms:created>
  <dcterms:modified xsi:type="dcterms:W3CDTF">2017-04-03T12:51:00Z</dcterms:modified>
</cp:coreProperties>
</file>