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bookmarkStart w:id="0" w:name="_GoBack"/>
      <w:bookmarkEnd w:id="0"/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786BD5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Utkast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Pr="00AA170E" w:rsidRDefault="00801CFA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56"/>
          <w:szCs w:val="56"/>
          <w:lang w:eastAsia="en-US"/>
        </w:rPr>
      </w:pPr>
      <w:r w:rsidRPr="00AA170E">
        <w:rPr>
          <w:rFonts w:asciiTheme="majorHAnsi" w:hAnsiTheme="majorHAnsi" w:cs="MyriadPro-Bold"/>
          <w:b/>
          <w:bCs/>
          <w:color w:val="000000" w:themeColor="text1"/>
          <w:sz w:val="56"/>
          <w:szCs w:val="56"/>
          <w:lang w:eastAsia="en-US"/>
        </w:rPr>
        <w:t>B</w:t>
      </w:r>
      <w:r w:rsidR="00AA170E" w:rsidRPr="00AA170E">
        <w:rPr>
          <w:rFonts w:asciiTheme="majorHAnsi" w:hAnsiTheme="majorHAnsi" w:cs="MyriadPro-Bold"/>
          <w:b/>
          <w:bCs/>
          <w:color w:val="000000" w:themeColor="text1"/>
          <w:sz w:val="56"/>
          <w:szCs w:val="56"/>
          <w:lang w:eastAsia="en-US"/>
        </w:rPr>
        <w:t>EREDSKAPSAVTALE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 xml:space="preserve">inngått </w:t>
      </w:r>
      <w:r w:rsidR="00801CFA" w:rsidRPr="00801CFA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mellom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 xml:space="preserve">NN </w:t>
      </w:r>
      <w:r w:rsidR="00801CFA" w:rsidRPr="00801CFA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kommune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(heretter kalt kommunen)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801CFA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 w:rsidRPr="00801CFA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og</w:t>
      </w:r>
    </w:p>
    <w:p w:rsidR="00AA170E" w:rsidRDefault="00AA170E" w:rsidP="00AA170E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801CFA" w:rsidRDefault="000C6A9F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Vaktselskapet</w:t>
      </w:r>
    </w:p>
    <w:p w:rsidR="00683E2B" w:rsidRDefault="00683E2B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683E2B" w:rsidRDefault="00683E2B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271BB6" w:rsidRDefault="00D76A83" w:rsidP="00D76A83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  <w:r w:rsidRPr="00D76A83"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  <w:t xml:space="preserve">Denne beredskapsavtalen er laget som tillegg til Norsk Standard 8434:2008 </w:t>
      </w:r>
    </w:p>
    <w:p w:rsidR="00D76A83" w:rsidRPr="00D76A83" w:rsidRDefault="00D76A83" w:rsidP="00D76A83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  <w:r w:rsidRPr="00D76A83"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  <w:t xml:space="preserve">«Alminnelige </w:t>
      </w:r>
      <w:r w:rsidR="00271BB6"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  <w:t>kontrakts-</w:t>
      </w:r>
      <w:r w:rsidR="00271BB6" w:rsidRPr="00D76A83"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  <w:t>bestemmelser</w:t>
      </w:r>
      <w:r w:rsidRPr="00D76A83"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  <w:t xml:space="preserve"> for manuelle vakt- og sikkerhetstjenester».</w:t>
      </w: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D76A83" w:rsidRDefault="00D76A83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D76A83" w:rsidRDefault="00D76A83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C808B3" w:rsidRPr="00621C89" w:rsidRDefault="00760606" w:rsidP="00C808B3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Bakgrunn</w:t>
      </w:r>
    </w:p>
    <w:p w:rsidR="00C808B3" w:rsidRDefault="00C808B3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 xml:space="preserve">Kommunen har gjennom Lov om kommunal beredskapsplikt et generelt og grunnleggende ansvar for å ivareta 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verdier som liv og helse, natur, areal, kritisk infrastruktur, bygg og materiell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 Gjennom denne loven er kommunen pålagt å gjennomføre risiko og sårbarhetsanalyser</w:t>
      </w:r>
      <w:r w:rsidR="00B16F2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samt utarbeide beredskapsplan. 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For å bidra til å styrke beredskapsevnen i kommunen er det </w:t>
      </w:r>
      <w:r w:rsidR="00B16F2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derfor 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inngått beredskapsavtale mellom kommunen og Vaktselskapet.</w:t>
      </w:r>
    </w:p>
    <w:p w:rsidR="00760606" w:rsidRDefault="00760606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Pr="00760606" w:rsidRDefault="00760606" w:rsidP="00760606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Om avtalepartene</w:t>
      </w:r>
    </w:p>
    <w:p w:rsidR="001A7BA1" w:rsidRDefault="001A7BA1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Kommunen……..(mer info om kommunen)</w:t>
      </w:r>
    </w:p>
    <w:p w:rsidR="00C808B3" w:rsidRDefault="00C808B3" w:rsidP="00C808B3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Default="000C6A9F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har vært i Norge siden 19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xx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Med små og store kunder over hele landet tar </w:t>
      </w:r>
      <w:r w:rsidR="00275185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Vakt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selskapet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et helhetlig ansvar for å sikre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kundenes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verdier.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jobber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hele tiden for å ligge i forkant og tilby de mest moderne og effektive sikkerhetsløsningene.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Vaktselskapet har over x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.000 vektere i samfunnet, fordelt på avdelingskontor over hele Norge.</w:t>
      </w:r>
    </w:p>
    <w:p w:rsidR="00C808B3" w:rsidRDefault="00C808B3" w:rsidP="005E23F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Pr="00D76A83" w:rsidRDefault="00C808B3" w:rsidP="00C808B3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621C89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Om avtalen</w:t>
      </w:r>
    </w:p>
    <w:p w:rsidR="005E23F8" w:rsidRPr="00D76A83" w:rsidRDefault="00D76A83" w:rsidP="005E23F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Denne b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eredskapsavtalen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skal stimulere til samarbeid og er en </w:t>
      </w:r>
      <w:r w:rsidR="00EE6262"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gjensidig forpliktelse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mellom kommune og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Vaktselskapet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, heretter kalt partene i beredskapsarbeidet.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Vaktselskapets</w:t>
      </w:r>
      <w:r w:rsidR="005E23F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leveranse av beredskapstjenester forutsetter inngåelse av konkrete oppdragsavtaler. Vilkårene i NS</w:t>
      </w:r>
      <w:r w:rsidR="005E23F8" w:rsidRP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8434:2008</w:t>
      </w:r>
      <w:r w:rsidR="005E23F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gjelder så langt ikke annet er avtalt og skal i tilfelle angis særskilt i den enkelte 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oppdragsavtale</w:t>
      </w:r>
      <w:r w:rsidR="005E23F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</w:p>
    <w:p w:rsidR="00917FE2" w:rsidRDefault="00917FE2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D76A83" w:rsidRDefault="00D76A83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Avtalen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skal bidra til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at kommunen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kjenner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sin kapasitet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av mannskaper og materiell dersom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kommunens</w:t>
      </w:r>
      <w:r w:rsidR="00917FE2"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ordinære ressurser ikke strekker til.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Dette kan gjelde </w:t>
      </w:r>
      <w:r w:rsidR="00917FE2" w:rsidRPr="003C104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områdene forebygging, begrensning, håndtering og </w:t>
      </w:r>
      <w:r w:rsidR="00917FE2" w:rsidRPr="003C104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>gjenoppretting blir så gode, effektive og målrettede som mulig, og dermed bidrar til den kommunale beredskapsevnen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Samtidig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kan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kunne forvente at kommunen vil benytte </w:t>
      </w:r>
      <w:r w:rsidR="000F1D9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seg av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deres personell, materiell og kompetanse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 en krisesituasjon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Avtalen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skal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beskrive hva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som kan gjøre at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samarbeidet blir mer forutsigbart og at det flyter lettere i </w:t>
      </w:r>
      <w:r w:rsidR="000F1D9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kritiske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situasjoner. </w:t>
      </w:r>
    </w:p>
    <w:p w:rsidR="00917FE2" w:rsidRDefault="00917FE2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E6262" w:rsidRDefault="00EE6262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Avtalen dekker samarbeid mellom kommune og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før, under og etter en kritisk hendelse. Samarbeidet mellom partene før kritiske hendelser ligger på planarbeidsnivå og innebærer en gjensidig deltakelse i møter og fora hvor beredskap og krisehåndtering står på agendaen.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kan om ønskelig stille med representant i kommunens beredskapsfora.</w:t>
      </w:r>
    </w:p>
    <w:p w:rsidR="00EE6262" w:rsidRDefault="00EE6262" w:rsidP="00EE6262">
      <w:pPr>
        <w:autoSpaceDE w:val="0"/>
        <w:autoSpaceDN w:val="0"/>
        <w:adjustRightInd w:val="0"/>
        <w:ind w:left="142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955DE" w:rsidRDefault="008B31F3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Vaktselskapet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utarbeider en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konkret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beredskapsplan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for å bistå kommunen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EE6262" w:rsidRDefault="00A955DE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Denne ligger som vedlegg.</w:t>
      </w:r>
      <w:r w:rsidR="0045730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Part</w:t>
      </w:r>
      <w:r w:rsidR="0045730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ene oppdaterer beredskapsplanen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fortløpende og på årlig samarbeidsmøte</w:t>
      </w:r>
      <w:r w:rsidR="0045730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mellom beredskapsansvarlig i kommunen og i Vaktselskapet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EE6262" w:rsidRDefault="00EE6262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694EF3" w:rsidRDefault="00694EF3" w:rsidP="00420314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</w:p>
    <w:p w:rsidR="00C808B3" w:rsidRDefault="00C808B3" w:rsidP="00420314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</w:p>
    <w:p w:rsidR="00C808B3" w:rsidRDefault="00C808B3" w:rsidP="00420314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</w:p>
    <w:p w:rsidR="00852B7B" w:rsidRPr="003C1048" w:rsidRDefault="00852B7B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1C353A" w:rsidRPr="00EB1EFF" w:rsidRDefault="002D04E3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EB1EFF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hensikt</w:t>
      </w:r>
    </w:p>
    <w:p w:rsidR="002D04E3" w:rsidRPr="00035B08" w:rsidRDefault="002D04E3" w:rsidP="00035B0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Kommunen og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er enige om at hver part, innenfor egne regelverk og egne rammer, hver for seg og i samarbeid, et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ter beste evne skal bidra til å r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edusere sannsynligh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eten for at krisehendelser 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oppstå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r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 r</w:t>
      </w:r>
      <w:r w:rsidR="000F1D9D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edusere om</w:t>
      </w:r>
      <w:r w:rsidR="000F1D9D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>fang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effekt av 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krise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hendelser, dersom de likevel inntreffer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 h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åndtere konsekvensene av 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krise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hendelser 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og g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jenopprette en normalsituasjon etter </w:t>
      </w:r>
      <w:r w:rsidR="000F1D9D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at 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en krise har inntruffet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0A4E2C" w:rsidRDefault="000A4E2C" w:rsidP="00CF782F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21C89" w:rsidRDefault="00852B7B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Varsling og s</w:t>
      </w:r>
      <w:r w:rsidR="000A4E2C" w:rsidRPr="00621C89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 xml:space="preserve">amarbeid ved kritiske hendelser 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kritiske hendelser kan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på forespørsel fra kommunen stille med en representant i den kommunale kriseledelsen.</w:t>
      </w:r>
    </w:p>
    <w:p w:rsidR="00852B7B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Varsling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og aktivisering av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personell og materiell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gjøres ved at kommunen ringer</w:t>
      </w:r>
      <w:r w:rsidR="005A258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Vaktselskapet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5A258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alarmsen</w:t>
      </w:r>
      <w:r w:rsidR="00271BB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tral som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igjen varsler</w:t>
      </w:r>
      <w:r w:rsidR="005A258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Vaktselskapet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interne beredskapsansvarlig. 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Beredskapsansvarlig aktiverer ressurser etter behov.</w:t>
      </w:r>
    </w:p>
    <w:p w:rsidR="000A4E2C" w:rsidRDefault="000A4E2C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709E2" w:rsidRPr="00E709E2" w:rsidRDefault="00271BB6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Beredskapsbidrag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Med utgangspunkt i kommunens ROS-analyse og beredskapsplaner er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forbered</w:t>
      </w:r>
      <w:r w:rsidR="00E709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t på å bidra med følgende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:</w:t>
      </w:r>
    </w:p>
    <w:p w:rsidR="000A4E2C" w:rsidRDefault="000A4E2C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83E2B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Evakuering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behov for evakuering kan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stille med </w:t>
      </w:r>
      <w:r w:rsidR="004B3DC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uniformert personell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for </w:t>
      </w:r>
      <w:r w:rsidR="007608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å utføre</w:t>
      </w:r>
      <w:r w:rsidR="00B41C1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evakueringen og føre evakuerte til avtalt møtested</w:t>
      </w:r>
    </w:p>
    <w:p w:rsidR="00C77AE7" w:rsidRDefault="00C77AE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77AE7" w:rsidRPr="00FA7BA8" w:rsidRDefault="00B22F98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FA7BA8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Vakthold og s</w:t>
      </w:r>
      <w:r w:rsidR="00C77AE7" w:rsidRPr="00FA7BA8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ikring</w:t>
      </w:r>
    </w:p>
    <w:p w:rsidR="00C77AE7" w:rsidRPr="00B22F98" w:rsidRDefault="00C77AE7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Sikre </w:t>
      </w:r>
      <w:r w:rsidR="00E64719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soner/verdier/åsted </w:t>
      </w: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med </w:t>
      </w:r>
      <w:r w:rsidR="00162BFB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vektertjeneste, sperrebånd, </w:t>
      </w: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gjerder og port</w:t>
      </w:r>
      <w:r w:rsidR="00E64719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</w:p>
    <w:p w:rsidR="00B22F98" w:rsidRPr="00B22F98" w:rsidRDefault="00162BFB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Kontroll av ID i forbindelse med innpassering</w:t>
      </w:r>
      <w:r w:rsidR="00E82D46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(Adgangskontroll)</w:t>
      </w:r>
    </w:p>
    <w:p w:rsidR="00E64719" w:rsidRDefault="00E64719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Synlig vektertjeneste for å skape trygghet</w:t>
      </w:r>
    </w:p>
    <w:p w:rsidR="004E6CDF" w:rsidRPr="00FA7BA8" w:rsidRDefault="00B22F98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Holde orden på kø i forbindelse med transport, utdeling av materiell, el.l.</w:t>
      </w:r>
    </w:p>
    <w:p w:rsidR="000A4E2C" w:rsidRDefault="000A4E2C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4E6CDF" w:rsidRPr="00683E2B" w:rsidRDefault="004E6CDF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Kommunikasjonssentral</w:t>
      </w:r>
      <w:r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/Alarmsentral</w:t>
      </w:r>
    </w:p>
    <w:p w:rsidR="004E6CDF" w:rsidRDefault="000C6A9F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 xml:space="preserve">Vaktselskapet </w:t>
      </w:r>
      <w:r w:rsidR="004E6CD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disponerer sambandsutstyr og kan ved behov fungere som kommunikasjonspunkt.</w:t>
      </w:r>
    </w:p>
    <w:p w:rsidR="004E6CDF" w:rsidRDefault="004E6CDF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</w:p>
    <w:p w:rsidR="000A4E2C" w:rsidRPr="00683E2B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Evakuert- og pårørendesenter</w:t>
      </w:r>
    </w:p>
    <w:p w:rsidR="000A4E2C" w:rsidRDefault="000C6A9F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0A4E2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kan stille med ressurser til opprettelse og drift av evakuert- og pårørendesenter, adgangskontroll, registrering, skjerming mot presse, og generell tilstedeværelse.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83E2B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Helse og trygghet</w:t>
      </w:r>
    </w:p>
    <w:p w:rsidR="00A73E6D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bortfall av kritisk infrastruktur kan vektere fra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bidra med å oppsøke innbyggere </w:t>
      </w:r>
      <w:r w:rsidR="00271BB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for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tilsyn, utkjøring av mat, vann, medisiner og brensel. </w:t>
      </w:r>
    </w:p>
    <w:p w:rsid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683E2B" w:rsidRPr="00E709E2" w:rsidRDefault="00271BB6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Liaisonering</w:t>
      </w:r>
    </w:p>
    <w:p w:rsidR="00683E2B" w:rsidRDefault="000C6A9F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E709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kan stille med </w:t>
      </w:r>
      <w:r w:rsidR="00271BB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liaison</w:t>
      </w:r>
      <w:r w:rsidR="00E709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person ved behov. Alternativt kan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C455E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alarmsentral </w:t>
      </w:r>
      <w:r w:rsidR="00E709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fungere som et bindeledd.</w:t>
      </w:r>
    </w:p>
    <w:p w:rsidR="00C808B3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Pr="00683E2B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Ressurser fra andre områder</w:t>
      </w:r>
    </w:p>
    <w:p w:rsidR="00C808B3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behov kan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stille med sikkerhetspersonell og utstyr fra andre områder i landet. </w:t>
      </w:r>
    </w:p>
    <w:p w:rsid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709E2" w:rsidRP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E709E2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Utstyr</w:t>
      </w:r>
    </w:p>
    <w:p w:rsid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Liste over utstyr og materiell ligger som vedlegg.</w:t>
      </w:r>
    </w:p>
    <w:p w:rsidR="00C808B3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Pr="00CF782F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Generelt</w:t>
      </w:r>
    </w:p>
    <w:p w:rsidR="00C808B3" w:rsidRDefault="00C808B3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Behov for bistand utover de allerede skisserte oppgavene avklares mellom partene.</w:t>
      </w:r>
    </w:p>
    <w:p w:rsidR="00C808B3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Default="00A73E6D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Pr="00621C89" w:rsidRDefault="00A73E6D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621C89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Opplæring og kompetanse</w:t>
      </w:r>
    </w:p>
    <w:p w:rsidR="00A73E6D" w:rsidRDefault="000C6A9F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A73E6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har ansvaret for opplæring av sine ansatte i henhold til Lov om Vaktvirksomhet. Opplæringen inkluderer 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risikovurdering, førstehjelp og redning, brannvern, evakuering, stress og kriser, konflikthåndtering, juridiske forhold, etikk, kommunikasjon, sikringstiltak, m.m. I tillegg får ledere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utvidet opplæring i lederskap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 V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ektere som skal dirigere trafikk </w:t>
      </w:r>
      <w:r w:rsidR="005E23F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gjennomfører 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egne kurs.</w:t>
      </w:r>
    </w:p>
    <w:p w:rsidR="00844E34" w:rsidRDefault="00844E34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D53EB9" w:rsidRDefault="00844E34" w:rsidP="004B3DCA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Ved aktuelle øvelser og kurs knyttet til beredskapsarbeid og planverk vil kommune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gjensidig invitere den andre part som deltager.</w:t>
      </w:r>
    </w:p>
    <w:p w:rsidR="00D53EB9" w:rsidRPr="00BC0D5F" w:rsidRDefault="00D53EB9" w:rsidP="0047279C">
      <w:pPr>
        <w:autoSpaceDE w:val="0"/>
        <w:autoSpaceDN w:val="0"/>
        <w:adjustRightInd w:val="0"/>
        <w:ind w:left="426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5F11B5" w:rsidRPr="005F11B5" w:rsidRDefault="005F11B5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5F11B5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Kommando og kontroll</w:t>
      </w:r>
    </w:p>
    <w:p w:rsidR="005F11B5" w:rsidRDefault="005F11B5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Vekterne ledes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normalt av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ledere, men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kan enkeltvis eller i grupper, avgis til kommunale ledere eller ledere i nødetatene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instruksjon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slik avgivelse er den offentlige ansatte leder faglig- og sikkerhetsmessig ansvarlig for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vektere på samme måte som for egne ansatte. </w:t>
      </w:r>
    </w:p>
    <w:p w:rsidR="00844E34" w:rsidRDefault="00844E34" w:rsidP="00A73E6D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844E34" w:rsidRPr="001A2F7B" w:rsidRDefault="00844E34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Taushetsplikt</w:t>
      </w:r>
    </w:p>
    <w:p w:rsidR="00A5119C" w:rsidRDefault="00844E34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Alle ansatte i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har 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forpliktet seg til</w:t>
      </w:r>
      <w:r w:rsidR="00EC79AF"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en etikk- og taushetserklæring som innebærer å hindre at uvedkommende får adgang til sensitiv informasjon som den ansatte får tilgang til gjennom sitt virke. </w:t>
      </w:r>
      <w:r w:rsidR="00A5119C"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I tillegg innhentes vandelsattest for alle som begynner i S</w:t>
      </w:r>
      <w:r w:rsidR="00271BB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ecuritas. Vandelsattestene </w:t>
      </w:r>
      <w:r w:rsidR="00A5119C"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kontrolleres jevnlig.</w:t>
      </w:r>
    </w:p>
    <w:p w:rsidR="00A5119C" w:rsidRDefault="00A5119C" w:rsidP="00A5119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5119C" w:rsidRPr="001A2F7B" w:rsidRDefault="00A5119C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Forsikringer</w:t>
      </w:r>
    </w:p>
    <w:p w:rsidR="004B3DCA" w:rsidRDefault="000C6A9F" w:rsidP="00760606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 xml:space="preserve">Vaktselskapet </w:t>
      </w:r>
      <w:r w:rsid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har avtale om ansvars- og ulykkesforsikring for alle ansatte. </w:t>
      </w:r>
    </w:p>
    <w:p w:rsidR="00C808B3" w:rsidRDefault="00C808B3" w:rsidP="00A5119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5119C" w:rsidRPr="001A2F7B" w:rsidRDefault="00A5119C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Økonomi</w:t>
      </w:r>
    </w:p>
    <w:p w:rsidR="00A5119C" w:rsidRDefault="00E85D2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Bruk av sikkerhetspersonell </w:t>
      </w:r>
      <w:r w:rsidR="00720809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og materiell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godgjøres etter 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egne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satser</w:t>
      </w:r>
      <w:r w:rsidR="00720809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 Satsene ligger som vedlegg</w:t>
      </w:r>
      <w:r w:rsidR="00B04790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Behov for anskaffelser av ekstra utstyr som gjerder, bommer, sperrematerialer, ekstra kjøretøy, brakker, m.m. avklares med </w:t>
      </w:r>
      <w:r w:rsidR="001A7BA1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ommune</w:t>
      </w:r>
      <w:r w:rsidR="001A7BA1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før anskaffelsen foretas.</w:t>
      </w:r>
    </w:p>
    <w:p w:rsidR="00760606" w:rsidRDefault="00760606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926DF2" w:rsidRDefault="00926DF2" w:rsidP="00A5119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926DF2" w:rsidRPr="001A2F7B" w:rsidRDefault="00926DF2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varighet og oppsigelse</w:t>
      </w:r>
    </w:p>
    <w:p w:rsidR="00926DF2" w:rsidRDefault="00926DF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Denne avtalen gjelder fra signering til eventuell oppsigelse. 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ommune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møter årlig for oppdatering og informasjonsutvek</w:t>
      </w:r>
      <w:r w:rsidR="000F01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sling. Begge parter kan si opp denne avtalen med 6 måneders skriftlig varsel. Begge parter kan kreve avtalen reforhandlet med 2 måneders skriftlig varsel.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kan si opp avtalen med 30 dagers varsel ved vesentlige endringer i forutsetningene for avtalen, herunder endringer i forsikringsdekning. </w:t>
      </w:r>
    </w:p>
    <w:p w:rsidR="00245AB2" w:rsidRDefault="00245AB2" w:rsidP="000F0198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45AB2" w:rsidRDefault="00245AB2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kontakt</w:t>
      </w:r>
      <w:r w:rsidR="00EC2655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- og varslings</w:t>
      </w: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personer</w:t>
      </w:r>
    </w:p>
    <w:p w:rsidR="00EF4245" w:rsidRPr="00EF4245" w:rsidRDefault="0047279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Oversikt over kont</w:t>
      </w:r>
      <w:r w:rsidRPr="00EF4245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akt- og varslingspersoner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følger som vedlegg.</w:t>
      </w:r>
    </w:p>
    <w:p w:rsidR="00245AB2" w:rsidRDefault="00245AB2" w:rsidP="00323E17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BC0D5F" w:rsidRPr="00EC2655" w:rsidRDefault="00EC2655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EC2655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Evaluering av innsats</w:t>
      </w:r>
    </w:p>
    <w:p w:rsidR="00EC2655" w:rsidRDefault="00EC2655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 xml:space="preserve">Partene er enige om at det, innen rimelig tid etter at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har deltatt i operativ beredskapsinnsats, skal gjennomføres et evalueringsmøte med relevant deltagelse.</w:t>
      </w:r>
    </w:p>
    <w:p w:rsidR="00EC2655" w:rsidRDefault="00EC2655" w:rsidP="000F0198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C2655" w:rsidRPr="00271BB6" w:rsidRDefault="00EC2655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271BB6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Dialogstruktur</w:t>
      </w:r>
    </w:p>
    <w:p w:rsidR="00EC2655" w:rsidRPr="00035B08" w:rsidRDefault="00EC2655" w:rsidP="00035B0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God utnyttelse av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ressurser i en krise- og beredskapssituasjon forutsetter tett og kontinuerlig dialog mellom partene. 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Det gjennomføres derfor m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inimum årlige møter mellom </w:t>
      </w:r>
      <w:r w:rsidR="00720809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beredskapsleder i kommunen og Vaktselskapets beredskapsansvarlig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0F0198" w:rsidRPr="00035B08" w:rsidRDefault="00720809" w:rsidP="00035B0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oppdatering av 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vedlegg </w:t>
      </w:r>
      <w:r w:rsidR="00EC2655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oversende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oppdaterte versjoner uten opphold til beredskapsansvarlig i kommunen. </w:t>
      </w:r>
      <w:r w:rsidR="00155532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Ved behov skal partene i god tid</w:t>
      </w:r>
      <w:r w:rsidR="00EF4245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invitere hverandr</w:t>
      </w:r>
      <w:r w:rsidR="00EC4AFA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 til faglige møter og øvelser, </w:t>
      </w:r>
      <w:r w:rsidR="00EF4245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155532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 deltagere eller observatører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2C327A" w:rsidRDefault="002C327A" w:rsidP="00926DF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Pr="001A2F7B" w:rsidRDefault="002C327A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Kontraktspersoner</w:t>
      </w:r>
      <w:r w:rsidR="00852B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 xml:space="preserve"> og signatur</w:t>
      </w:r>
    </w:p>
    <w:p w:rsidR="002C327A" w:rsidRDefault="002C327A" w:rsidP="002C327A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Default="002C327A" w:rsidP="002C327A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Oslo, 7. juni 2016</w:t>
      </w:r>
    </w:p>
    <w:p w:rsidR="002C327A" w:rsidRDefault="002C327A" w:rsidP="00A73A2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A73A2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A73A2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Pr="002C327A" w:rsidRDefault="00C808B3" w:rsidP="002C327A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</w:t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Vaktselskapet </w:t>
      </w:r>
    </w:p>
    <w:p w:rsidR="00A73E6D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Beredskapsansvarlig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  <w:t>Beredskapsansvarlig</w:t>
      </w:r>
    </w:p>
    <w:p w:rsidR="002C327A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E-post: </w:t>
      </w:r>
      <w:hyperlink r:id="rId7" w:history="1">
        <w:r w:rsidRPr="00337506">
          <w:rPr>
            <w:rStyle w:val="Hyperkobling"/>
            <w:rFonts w:asciiTheme="majorHAnsi" w:hAnsiTheme="majorHAnsi" w:cs="MyriadPro-Regular"/>
            <w:sz w:val="24"/>
            <w:szCs w:val="24"/>
            <w:lang w:eastAsia="en-US"/>
          </w:rPr>
          <w:t>NN@kommune.no</w:t>
        </w:r>
      </w:hyperlink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hyperlink r:id="rId8" w:history="1">
        <w:r w:rsidR="00720809" w:rsidRPr="00914FA7">
          <w:rPr>
            <w:rStyle w:val="Hyperkobling"/>
            <w:rFonts w:asciiTheme="majorHAnsi" w:hAnsiTheme="majorHAnsi" w:cs="MyriadPro-Regular"/>
            <w:sz w:val="24"/>
            <w:szCs w:val="24"/>
            <w:lang w:eastAsia="en-US"/>
          </w:rPr>
          <w:t>NN@vaktselskapet.no</w:t>
        </w:r>
      </w:hyperlink>
    </w:p>
    <w:p w:rsidR="002C327A" w:rsidRDefault="002C327A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Mobiltlf.: 908 55 555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  <w:t>Mobiltlf.: 907 44 4444</w:t>
      </w:r>
    </w:p>
    <w:p w:rsidR="00155532" w:rsidRDefault="00155532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Pr="00323E17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323E17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 xml:space="preserve">Vedlegg: </w:t>
      </w:r>
    </w:p>
    <w:p w:rsidR="002C327A" w:rsidRPr="00760606" w:rsidRDefault="008F6C87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lastRenderedPageBreak/>
        <w:t>Ressursoversikt ved kriseberedskap</w:t>
      </w:r>
    </w:p>
    <w:p w:rsidR="00323E17" w:rsidRPr="00760606" w:rsidRDefault="00323E17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Kontakt- og varslingspersoner</w:t>
      </w:r>
    </w:p>
    <w:p w:rsidR="00A955DE" w:rsidRPr="00760606" w:rsidRDefault="00A955DE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Beredskapsplan for å bistå kommunen</w:t>
      </w:r>
    </w:p>
    <w:p w:rsidR="00720809" w:rsidRPr="00760606" w:rsidRDefault="00720809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Økonomiske satser for sikkerhetspersonell</w:t>
      </w:r>
    </w:p>
    <w:p w:rsidR="002C327A" w:rsidRDefault="002C327A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75185" w:rsidRDefault="00275185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75185" w:rsidRDefault="00275185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tbl>
      <w:tblPr>
        <w:tblStyle w:val="Tabellrutenett"/>
        <w:tblW w:w="8849" w:type="dxa"/>
        <w:tblInd w:w="360" w:type="dxa"/>
        <w:tblLook w:val="04A0" w:firstRow="1" w:lastRow="0" w:firstColumn="1" w:lastColumn="0" w:noHBand="0" w:noVBand="1"/>
      </w:tblPr>
      <w:tblGrid>
        <w:gridCol w:w="2099"/>
        <w:gridCol w:w="4348"/>
        <w:gridCol w:w="1553"/>
        <w:gridCol w:w="849"/>
      </w:tblGrid>
      <w:tr w:rsidR="00ED2B7F" w:rsidTr="009A6C6C">
        <w:tc>
          <w:tcPr>
            <w:tcW w:w="8849" w:type="dxa"/>
            <w:gridSpan w:val="4"/>
            <w:shd w:val="clear" w:color="auto" w:fill="BFBFBF" w:themeFill="background1" w:themeFillShade="BF"/>
          </w:tcPr>
          <w:p w:rsidR="00ED2B7F" w:rsidRPr="00ED2B7F" w:rsidRDefault="00155532" w:rsidP="00ED2B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  <w:t>Eksempel på r</w:t>
            </w:r>
            <w:r w:rsidR="008F6C87"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  <w:t>essursoversikt ved kriseb</w:t>
            </w:r>
            <w:r w:rsidR="00ED2B7F" w:rsidRPr="00ED2B7F"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  <w:t>eredskap</w:t>
            </w:r>
          </w:p>
        </w:tc>
      </w:tr>
      <w:tr w:rsidR="002C327A" w:rsidTr="004E1C98">
        <w:tc>
          <w:tcPr>
            <w:tcW w:w="2099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Kategori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Materiell og utstyr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Lagersted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Antall</w:t>
            </w: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Administrativt</w:t>
            </w:r>
          </w:p>
        </w:tc>
        <w:tc>
          <w:tcPr>
            <w:tcW w:w="4348" w:type="dxa"/>
          </w:tcPr>
          <w:p w:rsidR="002C327A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24/7 Alarmsentral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572AB0" w:rsidTr="004E1C98">
        <w:tc>
          <w:tcPr>
            <w:tcW w:w="209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Lokaler med kantine og møterom</w:t>
            </w:r>
          </w:p>
        </w:tc>
        <w:tc>
          <w:tcPr>
            <w:tcW w:w="1553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572AB0" w:rsidTr="004E1C98">
        <w:tc>
          <w:tcPr>
            <w:tcW w:w="209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b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Bærbare pc</w:t>
            </w:r>
          </w:p>
        </w:tc>
        <w:tc>
          <w:tcPr>
            <w:tcW w:w="1553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B145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Mobiltlf.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AV materiell</w:t>
            </w:r>
            <w:r w:rsidR="004E1C98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og internett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Ekstra refleksvester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Koffert med beredskapsplan m.m.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Personell</w:t>
            </w:r>
          </w:p>
        </w:tc>
        <w:tc>
          <w:tcPr>
            <w:tcW w:w="4348" w:type="dxa"/>
          </w:tcPr>
          <w:p w:rsidR="002C327A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Vektere med v</w:t>
            </w:r>
            <w:r w:rsidR="00B145FC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ekteruniform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Ledere med r</w:t>
            </w:r>
            <w:r w:rsidR="00B145FC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efleksvester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Kommunikasjon</w:t>
            </w: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Mobiltlf</w:t>
            </w:r>
            <w:r w:rsidR="004E1C98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Sambandsradioer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3939C9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Beredskap</w:t>
            </w:r>
            <w:r w:rsidR="00FD2830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sbil</w:t>
            </w: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</w:t>
            </w:r>
            <w:r w:rsidR="00FD2830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med</w:t>
            </w: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Førstehjelpskofferter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FD2830" w:rsidP="00FD283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roterende lys og</w:t>
            </w: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Hjertestartere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FD2830" w:rsidP="00FD283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beredskapsutstyr</w:t>
            </w:r>
          </w:p>
        </w:tc>
        <w:tc>
          <w:tcPr>
            <w:tcW w:w="4348" w:type="dxa"/>
          </w:tcPr>
          <w:p w:rsidR="004E1C98" w:rsidRPr="008930E8" w:rsidRDefault="00E1586B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Oksygenutstyr mobilt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E1586B" w:rsidTr="004E1C98">
        <w:tc>
          <w:tcPr>
            <w:tcW w:w="2099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Båre</w:t>
            </w:r>
          </w:p>
        </w:tc>
        <w:tc>
          <w:tcPr>
            <w:tcW w:w="1553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E1586B" w:rsidTr="004E1C98">
        <w:tc>
          <w:tcPr>
            <w:tcW w:w="2099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Redningsmaske</w:t>
            </w:r>
          </w:p>
        </w:tc>
        <w:tc>
          <w:tcPr>
            <w:tcW w:w="1553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1586B" w:rsidRPr="008930E8" w:rsidRDefault="00E1586B" w:rsidP="00E1586B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E1586B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Håndslokkere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Ropert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Evakueringsinstruks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A73A28" w:rsidTr="004E1C98">
        <w:tc>
          <w:tcPr>
            <w:tcW w:w="2099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Lykt</w:t>
            </w:r>
          </w:p>
        </w:tc>
        <w:tc>
          <w:tcPr>
            <w:tcW w:w="1553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005748" w:rsidTr="004E1C98">
        <w:tc>
          <w:tcPr>
            <w:tcW w:w="2099" w:type="dxa"/>
          </w:tcPr>
          <w:p w:rsidR="00005748" w:rsidRPr="008930E8" w:rsidRDefault="0000574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005748" w:rsidRPr="008930E8" w:rsidRDefault="0000574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Bøye for kast i vann</w:t>
            </w:r>
          </w:p>
        </w:tc>
        <w:tc>
          <w:tcPr>
            <w:tcW w:w="1553" w:type="dxa"/>
          </w:tcPr>
          <w:p w:rsidR="00005748" w:rsidRPr="008930E8" w:rsidRDefault="0000574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005748" w:rsidRPr="008930E8" w:rsidRDefault="0000574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170E3" w:rsidTr="004E1C98">
        <w:tc>
          <w:tcPr>
            <w:tcW w:w="2099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Verktøykasse, spett, øks</w:t>
            </w:r>
            <w:r w:rsidR="00FC0834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, teleskopstige</w:t>
            </w:r>
          </w:p>
        </w:tc>
        <w:tc>
          <w:tcPr>
            <w:tcW w:w="1553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73EB" w:rsidTr="004E1C98">
        <w:tc>
          <w:tcPr>
            <w:tcW w:w="2099" w:type="dxa"/>
          </w:tcPr>
          <w:p w:rsidR="002C73EB" w:rsidRPr="008930E8" w:rsidRDefault="002C73EB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73EB" w:rsidRPr="008930E8" w:rsidRDefault="002C73EB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Absorb</w:t>
            </w:r>
            <w:r w:rsidR="00035B0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for utlegg ved olje/drivstoff søl</w:t>
            </w:r>
          </w:p>
        </w:tc>
        <w:tc>
          <w:tcPr>
            <w:tcW w:w="1553" w:type="dxa"/>
          </w:tcPr>
          <w:p w:rsidR="002C73EB" w:rsidRPr="008930E8" w:rsidRDefault="002C73EB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73EB" w:rsidRPr="008930E8" w:rsidRDefault="002C73EB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D85934" w:rsidTr="004E1C98">
        <w:tc>
          <w:tcPr>
            <w:tcW w:w="2099" w:type="dxa"/>
          </w:tcPr>
          <w:p w:rsidR="00D85934" w:rsidRPr="008930E8" w:rsidRDefault="00C913EC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Vekterbil</w:t>
            </w:r>
            <w:r w:rsidR="00CC6E17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4348" w:type="dxa"/>
          </w:tcPr>
          <w:p w:rsidR="00D85934" w:rsidRPr="008930E8" w:rsidRDefault="00D85934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Uniformerte vekterbiler</w:t>
            </w:r>
          </w:p>
        </w:tc>
        <w:tc>
          <w:tcPr>
            <w:tcW w:w="1553" w:type="dxa"/>
          </w:tcPr>
          <w:p w:rsidR="00D85934" w:rsidRPr="008930E8" w:rsidRDefault="00D85934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D85934" w:rsidRPr="008930E8" w:rsidRDefault="00D85934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</w:t>
            </w:r>
            <w:r w:rsidR="00B145FC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ikring</w:t>
            </w:r>
            <w:r w:rsidR="00CC6E17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Sperrebånd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A51557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400</w:t>
            </w: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Plastgjerde på rull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Stålgjerde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Franskgjerde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D71156" w:rsidTr="004E1C98">
        <w:tc>
          <w:tcPr>
            <w:tcW w:w="2099" w:type="dxa"/>
          </w:tcPr>
          <w:p w:rsidR="00D71156" w:rsidRPr="008930E8" w:rsidRDefault="00D7115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D71156" w:rsidRPr="008930E8" w:rsidRDefault="00D7115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Skilting</w:t>
            </w:r>
          </w:p>
        </w:tc>
        <w:tc>
          <w:tcPr>
            <w:tcW w:w="1553" w:type="dxa"/>
          </w:tcPr>
          <w:p w:rsidR="00D71156" w:rsidRPr="008930E8" w:rsidRDefault="00D7115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D71156" w:rsidRPr="008930E8" w:rsidRDefault="00D7115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Betongblokker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Lys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E50861" w:rsidP="00E5086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Flyttbar k</w:t>
            </w:r>
            <w:r w:rsidR="004E1C98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ameraovervåking </w:t>
            </w:r>
            <w:r w:rsidR="000F5A70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med</w:t>
            </w: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</w:t>
            </w:r>
            <w:r w:rsidR="000F5A70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høyttaler (RVS)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CC6E17" w:rsidTr="004E1C98">
        <w:tc>
          <w:tcPr>
            <w:tcW w:w="2099" w:type="dxa"/>
          </w:tcPr>
          <w:p w:rsidR="00CC6E17" w:rsidRPr="008930E8" w:rsidRDefault="00CC6E17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CC6E17" w:rsidRPr="008930E8" w:rsidRDefault="00CC6E17" w:rsidP="00E5086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Tåkesikring</w:t>
            </w:r>
          </w:p>
        </w:tc>
        <w:tc>
          <w:tcPr>
            <w:tcW w:w="1553" w:type="dxa"/>
          </w:tcPr>
          <w:p w:rsidR="00CC6E17" w:rsidRPr="008930E8" w:rsidRDefault="00CC6E17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CC6E17" w:rsidRPr="008930E8" w:rsidRDefault="00CC6E17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Strømaggregat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E50861" w:rsidP="00E5086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Flyttbart a</w:t>
            </w:r>
            <w:r w:rsidR="004E1C98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larm</w:t>
            </w: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anlegg</w:t>
            </w:r>
            <w:r w:rsidR="000F5A70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(med bildeoverføring)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E50861" w:rsidTr="004E1C98">
        <w:tc>
          <w:tcPr>
            <w:tcW w:w="209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Verktøykasser</w:t>
            </w:r>
          </w:p>
        </w:tc>
        <w:tc>
          <w:tcPr>
            <w:tcW w:w="1553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E50861" w:rsidTr="004E1C98">
        <w:tc>
          <w:tcPr>
            <w:tcW w:w="209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Tilhengerbrakke/ Vaktbu</w:t>
            </w:r>
          </w:p>
        </w:tc>
        <w:tc>
          <w:tcPr>
            <w:tcW w:w="1553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Trafikkdirigering</w:t>
            </w:r>
          </w:p>
        </w:tc>
        <w:tc>
          <w:tcPr>
            <w:tcW w:w="4348" w:type="dxa"/>
          </w:tcPr>
          <w:p w:rsidR="00B145FC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Følgebil</w:t>
            </w:r>
            <w:r w:rsidR="002C7A6F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med roterende lys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Skilting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Lys og signalutstyr</w:t>
            </w:r>
            <w:r w:rsidR="00EA45EA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for trafikkdirigering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HMS utstyr</w:t>
            </w:r>
          </w:p>
        </w:tc>
        <w:tc>
          <w:tcPr>
            <w:tcW w:w="4348" w:type="dxa"/>
          </w:tcPr>
          <w:p w:rsidR="004E1C98" w:rsidRPr="008930E8" w:rsidRDefault="00155532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Vernehjelm, </w:t>
            </w:r>
            <w:r w:rsidR="00386746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vernesko</w:t>
            </w: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, vest, adgangskort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386746" w:rsidTr="004E1C98">
        <w:tc>
          <w:tcPr>
            <w:tcW w:w="2099" w:type="dxa"/>
          </w:tcPr>
          <w:p w:rsidR="00386746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386746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Stikksikker vest</w:t>
            </w:r>
          </w:p>
        </w:tc>
        <w:tc>
          <w:tcPr>
            <w:tcW w:w="1553" w:type="dxa"/>
          </w:tcPr>
          <w:p w:rsidR="00386746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386746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386746" w:rsidTr="004E1C98">
        <w:tc>
          <w:tcPr>
            <w:tcW w:w="2099" w:type="dxa"/>
          </w:tcPr>
          <w:p w:rsidR="00386746" w:rsidRDefault="008523A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Sikring av innbrudd</w:t>
            </w:r>
          </w:p>
        </w:tc>
        <w:tc>
          <w:tcPr>
            <w:tcW w:w="4348" w:type="dxa"/>
          </w:tcPr>
          <w:p w:rsidR="00386746" w:rsidRDefault="008523A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Lås, kjetting, laminatfilm for vinduer, </w:t>
            </w:r>
            <w:r w:rsidR="00284FE1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skruer slagdrill, finerplate</w:t>
            </w:r>
            <w:r w:rsidR="002C6C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, beslag, m.m.</w:t>
            </w:r>
          </w:p>
        </w:tc>
        <w:tc>
          <w:tcPr>
            <w:tcW w:w="1553" w:type="dxa"/>
          </w:tcPr>
          <w:p w:rsidR="00386746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386746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</w:tbl>
    <w:p w:rsidR="002C327A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Pr="00323E17" w:rsidRDefault="00323E17" w:rsidP="00323E17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kontakt</w:t>
      </w: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- og varslings</w:t>
      </w: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personer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169"/>
        <w:gridCol w:w="1134"/>
        <w:gridCol w:w="2835"/>
      </w:tblGrid>
      <w:tr w:rsidR="00323E17" w:rsidTr="006422D5">
        <w:tc>
          <w:tcPr>
            <w:tcW w:w="8467" w:type="dxa"/>
            <w:gridSpan w:val="4"/>
            <w:shd w:val="clear" w:color="auto" w:fill="BFBFBF" w:themeFill="background1" w:themeFillShade="BF"/>
          </w:tcPr>
          <w:p w:rsidR="00323E17" w:rsidRDefault="00323E17" w:rsidP="006422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Kontaktpersoner Securitas</w:t>
            </w: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Navn</w:t>
            </w: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 xml:space="preserve">Funksjon </w:t>
            </w: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Tlf.</w:t>
            </w: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Mail</w:t>
            </w: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Beredskapsansvarlig</w:t>
            </w: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3E17" w:rsidRDefault="00323E17" w:rsidP="00323E17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323E17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169"/>
        <w:gridCol w:w="1134"/>
        <w:gridCol w:w="2835"/>
      </w:tblGrid>
      <w:tr w:rsidR="00323E17" w:rsidTr="006422D5">
        <w:tc>
          <w:tcPr>
            <w:tcW w:w="8467" w:type="dxa"/>
            <w:gridSpan w:val="4"/>
            <w:shd w:val="clear" w:color="auto" w:fill="BFBFBF" w:themeFill="background1" w:themeFillShade="BF"/>
          </w:tcPr>
          <w:p w:rsidR="00323E17" w:rsidRDefault="00323E17" w:rsidP="006422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Kontaktpersoner kommunen</w:t>
            </w: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Navn</w:t>
            </w: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 xml:space="preserve">Funksjon </w:t>
            </w: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Tlf.</w:t>
            </w: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Mail</w:t>
            </w: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Beredskapsansvarlig</w:t>
            </w: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3E17" w:rsidRPr="000A4E2C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sectPr w:rsidR="00323E17" w:rsidRPr="000A4E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31" w:rsidRDefault="00B35931" w:rsidP="00CF782F">
      <w:r>
        <w:separator/>
      </w:r>
    </w:p>
  </w:endnote>
  <w:endnote w:type="continuationSeparator" w:id="0">
    <w:p w:rsidR="00B35931" w:rsidRDefault="00B35931" w:rsidP="00CF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456836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782F" w:rsidRPr="00CF782F" w:rsidRDefault="00CF782F">
            <w:pPr>
              <w:pStyle w:val="Bunntekst"/>
              <w:jc w:val="right"/>
              <w:rPr>
                <w:sz w:val="16"/>
                <w:szCs w:val="16"/>
              </w:rPr>
            </w:pPr>
            <w:r w:rsidRPr="00CF782F">
              <w:rPr>
                <w:sz w:val="16"/>
                <w:szCs w:val="16"/>
              </w:rPr>
              <w:t xml:space="preserve">Side </w:t>
            </w:r>
            <w:r w:rsidRPr="00CF782F">
              <w:rPr>
                <w:b/>
                <w:bCs/>
                <w:sz w:val="16"/>
                <w:szCs w:val="16"/>
              </w:rPr>
              <w:fldChar w:fldCharType="begin"/>
            </w:r>
            <w:r w:rsidRPr="00CF782F">
              <w:rPr>
                <w:b/>
                <w:bCs/>
                <w:sz w:val="16"/>
                <w:szCs w:val="16"/>
              </w:rPr>
              <w:instrText>PAGE</w:instrText>
            </w:r>
            <w:r w:rsidRPr="00CF782F">
              <w:rPr>
                <w:b/>
                <w:bCs/>
                <w:sz w:val="16"/>
                <w:szCs w:val="16"/>
              </w:rPr>
              <w:fldChar w:fldCharType="separate"/>
            </w:r>
            <w:r w:rsidR="001B1184">
              <w:rPr>
                <w:b/>
                <w:bCs/>
                <w:noProof/>
                <w:sz w:val="16"/>
                <w:szCs w:val="16"/>
              </w:rPr>
              <w:t>2</w:t>
            </w:r>
            <w:r w:rsidRPr="00CF782F">
              <w:rPr>
                <w:b/>
                <w:bCs/>
                <w:sz w:val="16"/>
                <w:szCs w:val="16"/>
              </w:rPr>
              <w:fldChar w:fldCharType="end"/>
            </w:r>
            <w:r w:rsidRPr="00CF782F">
              <w:rPr>
                <w:sz w:val="16"/>
                <w:szCs w:val="16"/>
              </w:rPr>
              <w:t xml:space="preserve"> av </w:t>
            </w:r>
            <w:r w:rsidRPr="00CF782F">
              <w:rPr>
                <w:b/>
                <w:bCs/>
                <w:sz w:val="16"/>
                <w:szCs w:val="16"/>
              </w:rPr>
              <w:fldChar w:fldCharType="begin"/>
            </w:r>
            <w:r w:rsidRPr="00CF782F">
              <w:rPr>
                <w:b/>
                <w:bCs/>
                <w:sz w:val="16"/>
                <w:szCs w:val="16"/>
              </w:rPr>
              <w:instrText>NUMPAGES</w:instrText>
            </w:r>
            <w:r w:rsidRPr="00CF782F">
              <w:rPr>
                <w:b/>
                <w:bCs/>
                <w:sz w:val="16"/>
                <w:szCs w:val="16"/>
              </w:rPr>
              <w:fldChar w:fldCharType="separate"/>
            </w:r>
            <w:r w:rsidR="001B1184">
              <w:rPr>
                <w:b/>
                <w:bCs/>
                <w:noProof/>
                <w:sz w:val="16"/>
                <w:szCs w:val="16"/>
              </w:rPr>
              <w:t>7</w:t>
            </w:r>
            <w:r w:rsidRPr="00CF78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782F" w:rsidRDefault="00CF782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31" w:rsidRDefault="00B35931" w:rsidP="00CF782F">
      <w:r>
        <w:separator/>
      </w:r>
    </w:p>
  </w:footnote>
  <w:footnote w:type="continuationSeparator" w:id="0">
    <w:p w:rsidR="00B35931" w:rsidRDefault="00B35931" w:rsidP="00CF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47D"/>
    <w:multiLevelType w:val="hybridMultilevel"/>
    <w:tmpl w:val="A45E4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41FF"/>
    <w:multiLevelType w:val="hybridMultilevel"/>
    <w:tmpl w:val="3BC2CCA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27055"/>
    <w:multiLevelType w:val="hybridMultilevel"/>
    <w:tmpl w:val="A45E4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E1D"/>
    <w:multiLevelType w:val="hybridMultilevel"/>
    <w:tmpl w:val="44C4A42C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F5475"/>
    <w:multiLevelType w:val="hybridMultilevel"/>
    <w:tmpl w:val="CADC1030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D2E68"/>
    <w:multiLevelType w:val="hybridMultilevel"/>
    <w:tmpl w:val="F28C9932"/>
    <w:lvl w:ilvl="0" w:tplc="730C13A2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466A"/>
    <w:multiLevelType w:val="hybridMultilevel"/>
    <w:tmpl w:val="C8EEF794"/>
    <w:lvl w:ilvl="0" w:tplc="ECBEC33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MyriadPro-Regular" w:hint="default"/>
        <w:color w:val="E4000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70B34"/>
    <w:multiLevelType w:val="hybridMultilevel"/>
    <w:tmpl w:val="EAE29460"/>
    <w:lvl w:ilvl="0" w:tplc="B6C0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66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60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E8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67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D47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02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48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2F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7E02F0"/>
    <w:multiLevelType w:val="hybridMultilevel"/>
    <w:tmpl w:val="BE148414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A120BE"/>
    <w:multiLevelType w:val="hybridMultilevel"/>
    <w:tmpl w:val="6F4C4F38"/>
    <w:lvl w:ilvl="0" w:tplc="9C2A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5EF4"/>
    <w:multiLevelType w:val="hybridMultilevel"/>
    <w:tmpl w:val="DD0A41F2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B3212"/>
    <w:multiLevelType w:val="hybridMultilevel"/>
    <w:tmpl w:val="E95C0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07571"/>
    <w:multiLevelType w:val="hybridMultilevel"/>
    <w:tmpl w:val="A9187D00"/>
    <w:lvl w:ilvl="0" w:tplc="730C13A2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0"/>
    <w:rsid w:val="00005748"/>
    <w:rsid w:val="00035B08"/>
    <w:rsid w:val="000A4E2C"/>
    <w:rsid w:val="000C6A9F"/>
    <w:rsid w:val="000F0198"/>
    <w:rsid w:val="000F1D9D"/>
    <w:rsid w:val="000F5A70"/>
    <w:rsid w:val="00155532"/>
    <w:rsid w:val="00162BFB"/>
    <w:rsid w:val="001A2F7B"/>
    <w:rsid w:val="001A7BA1"/>
    <w:rsid w:val="001B1184"/>
    <w:rsid w:val="001C353A"/>
    <w:rsid w:val="002170E3"/>
    <w:rsid w:val="002326C9"/>
    <w:rsid w:val="002427A8"/>
    <w:rsid w:val="00245AB2"/>
    <w:rsid w:val="00271BB6"/>
    <w:rsid w:val="00275185"/>
    <w:rsid w:val="00284FE1"/>
    <w:rsid w:val="002C327A"/>
    <w:rsid w:val="002C6CE8"/>
    <w:rsid w:val="002C73EB"/>
    <w:rsid w:val="002C7A6F"/>
    <w:rsid w:val="002C7DE9"/>
    <w:rsid w:val="002D04E3"/>
    <w:rsid w:val="00323E17"/>
    <w:rsid w:val="00365168"/>
    <w:rsid w:val="00386746"/>
    <w:rsid w:val="003939C9"/>
    <w:rsid w:val="003C1048"/>
    <w:rsid w:val="003D6FE0"/>
    <w:rsid w:val="003F2474"/>
    <w:rsid w:val="00420314"/>
    <w:rsid w:val="0044637E"/>
    <w:rsid w:val="0045730D"/>
    <w:rsid w:val="0047279C"/>
    <w:rsid w:val="00490DF5"/>
    <w:rsid w:val="004B3DCA"/>
    <w:rsid w:val="004B4A17"/>
    <w:rsid w:val="004E1C98"/>
    <w:rsid w:val="004E6CDF"/>
    <w:rsid w:val="005716BF"/>
    <w:rsid w:val="00572AB0"/>
    <w:rsid w:val="005A258D"/>
    <w:rsid w:val="005E23F8"/>
    <w:rsid w:val="005F11B5"/>
    <w:rsid w:val="00621C89"/>
    <w:rsid w:val="00661CCF"/>
    <w:rsid w:val="00683E2B"/>
    <w:rsid w:val="00694EF3"/>
    <w:rsid w:val="00720809"/>
    <w:rsid w:val="00760606"/>
    <w:rsid w:val="00760898"/>
    <w:rsid w:val="00781E22"/>
    <w:rsid w:val="00786BD5"/>
    <w:rsid w:val="00790382"/>
    <w:rsid w:val="00795953"/>
    <w:rsid w:val="007E00BE"/>
    <w:rsid w:val="00801CFA"/>
    <w:rsid w:val="008377BF"/>
    <w:rsid w:val="00844E34"/>
    <w:rsid w:val="008523A0"/>
    <w:rsid w:val="00852B7B"/>
    <w:rsid w:val="00864F5D"/>
    <w:rsid w:val="008930E8"/>
    <w:rsid w:val="008A6114"/>
    <w:rsid w:val="008B31F3"/>
    <w:rsid w:val="008F6C87"/>
    <w:rsid w:val="00917FE2"/>
    <w:rsid w:val="009256BB"/>
    <w:rsid w:val="00926DF2"/>
    <w:rsid w:val="00943E1B"/>
    <w:rsid w:val="009B2B87"/>
    <w:rsid w:val="00A25626"/>
    <w:rsid w:val="00A5119C"/>
    <w:rsid w:val="00A51557"/>
    <w:rsid w:val="00A73A28"/>
    <w:rsid w:val="00A73E6D"/>
    <w:rsid w:val="00A955DE"/>
    <w:rsid w:val="00AA170E"/>
    <w:rsid w:val="00AB189B"/>
    <w:rsid w:val="00B04790"/>
    <w:rsid w:val="00B145FC"/>
    <w:rsid w:val="00B16F2F"/>
    <w:rsid w:val="00B22F98"/>
    <w:rsid w:val="00B35931"/>
    <w:rsid w:val="00B41C14"/>
    <w:rsid w:val="00BC0D5F"/>
    <w:rsid w:val="00C448A6"/>
    <w:rsid w:val="00C455EF"/>
    <w:rsid w:val="00C77AE7"/>
    <w:rsid w:val="00C808B3"/>
    <w:rsid w:val="00C913EC"/>
    <w:rsid w:val="00CC6E17"/>
    <w:rsid w:val="00CF782F"/>
    <w:rsid w:val="00D53EB9"/>
    <w:rsid w:val="00D71156"/>
    <w:rsid w:val="00D76A83"/>
    <w:rsid w:val="00D85934"/>
    <w:rsid w:val="00E1586B"/>
    <w:rsid w:val="00E50861"/>
    <w:rsid w:val="00E64719"/>
    <w:rsid w:val="00E709E2"/>
    <w:rsid w:val="00E82D46"/>
    <w:rsid w:val="00E85D23"/>
    <w:rsid w:val="00EA45EA"/>
    <w:rsid w:val="00EB1EFF"/>
    <w:rsid w:val="00EC2655"/>
    <w:rsid w:val="00EC4AFA"/>
    <w:rsid w:val="00EC79AF"/>
    <w:rsid w:val="00ED2B7F"/>
    <w:rsid w:val="00EE6262"/>
    <w:rsid w:val="00EF4245"/>
    <w:rsid w:val="00F14D68"/>
    <w:rsid w:val="00F171A5"/>
    <w:rsid w:val="00F17738"/>
    <w:rsid w:val="00F60077"/>
    <w:rsid w:val="00F65DBB"/>
    <w:rsid w:val="00FA7BA8"/>
    <w:rsid w:val="00FC0834"/>
    <w:rsid w:val="00FD2830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86B3-B183-45CA-B4B5-B742B9B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5D"/>
    <w:pPr>
      <w:spacing w:after="0" w:line="240" w:lineRule="auto"/>
    </w:pPr>
    <w:rPr>
      <w:rFonts w:ascii="Calibri Light" w:hAnsi="Calibri Light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48A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327A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C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17FE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FE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FE2"/>
    <w:rPr>
      <w:rFonts w:ascii="Calibri Light" w:hAnsi="Calibri Light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F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FE2"/>
    <w:rPr>
      <w:rFonts w:ascii="Calibri Light" w:hAnsi="Calibri Light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7F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7FE2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782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782F"/>
    <w:rPr>
      <w:rFonts w:ascii="Calibri Light" w:hAnsi="Calibri Light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782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782F"/>
    <w:rPr>
      <w:rFonts w:ascii="Calibri Light" w:hAnsi="Calibri Light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7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3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8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8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vaktselskap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@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Securitas AS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Brynhildsvoll Per Øyvind</dc:creator>
  <cp:keywords/>
  <dc:description/>
  <cp:lastModifiedBy>Vibeke Hambo</cp:lastModifiedBy>
  <cp:revision>2</cp:revision>
  <dcterms:created xsi:type="dcterms:W3CDTF">2016-07-12T14:46:00Z</dcterms:created>
  <dcterms:modified xsi:type="dcterms:W3CDTF">2016-07-12T14:46:00Z</dcterms:modified>
</cp:coreProperties>
</file>